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ongoing EPS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~$0.79 vs. cons $0.78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~$3.65B vs. cons $3.60B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Weather-normalized electric sales growth (YoY)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~3.0% vs. cons ~3.0%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ongoing EPS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4.04</m:t>
              </m:r>
              <m:r>
                <m:rPr>
                  <m:sty m:val="p"/>
                </m:rPr>
                <m:t>−</m:t>
              </m:r>
            </m:oMath>
            <w:r>
              <w:t xml:space="preserve">4.16 (midpoint $4.10) vs. cons $4.11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Long-term EPS growth algorithm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6-8% off $3.80 base / ~9% avg thru 2030 vs. cons ~7% (2026-2030)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Colorado electric rate settlement (~$225M, 9.3% ROE) durability at CPUC</w:t>
            </w:r>
          </w:p>
        </w:tc>
        <w:tc>
          <w:tcPr/>
          <w:p>
            <w:pPr>
              <w:pStyle w:val="Compact"/>
            </w:pPr>
            <w:r>
              <w:t xml:space="preserve">UNKNOWN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225</m:t>
              </m:r>
              <m:r>
                <m:t>M</m:t>
              </m:r>
              <m:r>
                <m:rPr>
                  <m:sty m:val="p"/>
                </m:rPr>
                <m:t>/</m:t>
              </m:r>
              <m:r>
                <m:t>9.3</m:t>
              </m:r>
            </m:oMath>
            <w:r>
              <w:t xml:space="preserve">225M (Q3 2026 decision)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Data-center contracted load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6 GW by YE2027 (3 GW 2026) vs. cons ~6 GW (YE2027)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5-year capex / equity funding plan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~$60B base +</w:t>
            </w:r>
            <w:r>
              <w:t xml:space="preserve"> </w:t>
            </w:r>
            <m:oMath>
              <m:r>
                <m:t>7</m:t>
              </m:r>
              <m:r>
                <m:t>B</m:t>
              </m:r>
              <m:r>
                <m:rPr>
                  <m:sty m:val="p"/>
                </m:rPr>
                <m:t>+</m:t>
              </m:r>
              <m:r>
                <m:t>l</m:t>
              </m:r>
              <m:r>
                <m:t>i</m:t>
              </m:r>
              <m:r>
                <m:t>n</m:t>
              </m:r>
              <m:r>
                <m:t>e</m:t>
              </m:r>
              <m:r>
                <m:rPr>
                  <m:sty m:val="p"/>
                </m:rPr>
                <m:t>−</m:t>
              </m:r>
              <m:r>
                <m:t>o</m:t>
              </m:r>
              <m:r>
                <m:t>f</m:t>
              </m:r>
              <m:r>
                <m:rPr>
                  <m:sty m:val="p"/>
                </m:rPr>
                <m:t>−</m:t>
              </m:r>
              <m:r>
                <m:t>s</m:t>
              </m:r>
              <m:r>
                <m:t>i</m:t>
              </m:r>
              <m:r>
                <m:t>g</m:t>
              </m:r>
              <m:r>
                <m:t>h</m:t>
              </m:r>
              <m:r>
                <m:t>t</m:t>
              </m:r>
              <m:r>
                <m:rPr>
                  <m:sty m:val="p"/>
                </m:rPr>
                <m:t>,</m:t>
              </m:r>
              <m:r>
                <m:t> </m:t>
              </m:r>
            </m:oMath>
            <w:r>
              <w:t xml:space="preserve">14B 2026 vs. cons ~$60B (2026-2030)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+0.7%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+0.4% (STABILIZE)</w:t>
            </w:r>
          </w:p>
        </w:tc>
        <w:tc>
          <w:tcPr/>
          <w:p>
            <w:pPr>
              <w:pStyle w:val="Compact"/>
            </w:pPr>
            <w:r>
              <w:t xml:space="preserve">Seasonally light Q2 with an in-line EPS print and a reaffirmed (not raised)</w:t>
            </w:r>
            <w:r>
              <w:t xml:space="preserve"> </w:t>
            </w:r>
            <m:oMath>
              <m:r>
                <m:t>4.04</m:t>
              </m:r>
              <m:r>
                <m:rPr>
                  <m:sty m:val="p"/>
                </m:rPr>
                <m:t>−</m:t>
              </m:r>
            </m:oMath>
            <w:r>
              <w:t xml:space="preserve">4.16 guide gives no material fuel for estimate revisions either way; out-period math is unchanged since the Q3 call is where the capex roll-forward and Colorado CPUC decision land. Stock already de-risked ~3.5% into the print (81.67 on 7/24 to 78.82 on 7/29) vs. a flat tape, so a clean narrative supports a modest relief/stabilize rather than sustained follow-through or a fade, absent a negative regulatory surprise.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2026-07-29T18:40:28Z</dcterms:created>
  <dcterms:modified xsi:type="dcterms:W3CDTF">2026-07-29T18:40:28Z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