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I'll research XEL (Xcel Energy) before writing the preview. Let me gather recent filings, earnings history, guidance, and news.Let me read the most recent earnings materials (Q1 2026 call and release) and the prior-year Q2 for comparison.I have strong Q1 2026 detail. Let me get the year-ago Q2 2025 release (for the comparison base) and recent news/price action.Let me check for the latest developments — the Colorado electric rate case settlement, the Minnesota order (expected July), and analyst consensus for Q2.Let me quickly check the status of the Colorado electric settlement and Minnesota order (both were expected before this print).# Xcel Energy (XEL) — Q2 2026 Earnings Preview</w:t>
      </w:r>
    </w:p>
    <w:bookmarkStart w:id="9" w:name="Xd7fdcbf6cd3434535a1491944f0f3581544ce2c"/>
    <w:p>
      <w:pPr>
        <w:pStyle w:val="Heading3"/>
      </w:pPr>
      <w:r>
        <w:t xml:space="preserve">Report: Thursday, July 30, 2026 (before market open) | Conference call 9:00 a.m. CDT</w:t>
      </w:r>
    </w:p>
    <w:p>
      <w:r>
        <w:pict>
          <v:rect style="width:0;height:1.5pt" o:hralign="center" o:hrstd="t" o:hr="t"/>
        </w:pict>
      </w:r>
    </w:p>
    <w:bookmarkEnd w:id="9"/>
    <w:bookmarkStart w:id="10" w:name="Xccd0cd2a1e9c6ef2f2c7097f8f85f850d452fe8"/>
    <w:p>
      <w:pPr>
        <w:pStyle w:val="Heading2"/>
      </w:pPr>
      <w:r>
        <w:t xml:space="preserve">1. The Setup</w:t>
      </w:r>
    </w:p>
    <w:p>
      <w:pPr>
        <w:pStyle w:val="FirstParagraph"/>
      </w:pPr>
      <w:r>
        <w:t xml:space="preserve">Xcel reports its Q2 2026 results tomorrow morning. Q2 is a seasonally light "shoulder" quarter for XEL, so the print itself rarely moves the full-year story much — the focus is squarely on</w:t>
      </w:r>
      <w:r>
        <w:t xml:space="preserve"> </w:t>
      </w:r>
      <w:r>
        <w:rPr>
          <w:b/>
          <w:bCs/>
        </w:rPr>
        <w:t xml:space="preserve">(a) whether management reaffirms full-year guidance, (b) fresh regulatory outcomes, and (c) momentum on the data-center/capex growth engine.</w:t>
      </w:r>
    </w:p>
    <w:p>
      <w:pPr>
        <w:pStyle w:val="BodyText"/>
      </w:pPr>
      <w:r>
        <w:rPr>
          <w:b/>
          <w:bCs/>
        </w:rPr>
        <w:t xml:space="preserve">Consensus expectations:</w:t>
      </w:r>
    </w:p>
    <w:p>
      <w:pPr>
        <w:pStyle w:val="Compact"/>
        <w:numPr>
          <w:ilvl w:val="0"/>
          <w:numId w:val="1001"/>
        </w:numPr>
      </w:pPr>
      <w:r>
        <w:rPr>
          <w:b/>
          <w:bCs/>
        </w:rPr>
        <w:t xml:space="preserve">Q2 EPS: ~</w:t>
      </w:r>
      <m:oMath>
        <m:r>
          <m:t>0.78</m:t>
        </m:r>
        <m:r>
          <m:rPr>
            <m:sty m:val="p"/>
          </m:rPr>
          <m:t>–</m:t>
        </m:r>
      </m:oMath>
      <w:r>
        <w:rPr>
          <w:b/>
          <w:bCs/>
        </w:rPr>
        <w:t xml:space="preserve">0.79</w:t>
      </w:r>
      <w:r>
        <w:t xml:space="preserve"> </w:t>
      </w:r>
      <w:r>
        <w:t xml:space="preserve">(Street range clustered here; KeyBanc at $0.78, Zacks at</w:t>
      </w:r>
      <w:r>
        <w:t xml:space="preserve"> </w:t>
      </w:r>
      <m:oMath>
        <m:r>
          <m:t>0.79</m:t>
        </m:r>
        <m:r>
          <m:rPr>
            <m:sty m:val="p"/>
          </m:rPr>
          <m:t>)</m:t>
        </m:r>
        <m:r>
          <m:rPr>
            <m:sty m:val="p"/>
          </m:rPr>
          <m:t>,</m:t>
        </m:r>
        <m:r>
          <m:t>i</m:t>
        </m:r>
        <m:r>
          <m:t>m</m:t>
        </m:r>
        <m:r>
          <m:t>p</m:t>
        </m:r>
        <m:r>
          <m:t>l</m:t>
        </m:r>
        <m:r>
          <m:t>y</m:t>
        </m:r>
        <m:r>
          <m:t>i</m:t>
        </m:r>
        <m:r>
          <m:t>n</m:t>
        </m:r>
        <m:r>
          <m:t>g</m:t>
        </m:r>
        <m:r>
          <m:t> </m:t>
        </m:r>
        <m:r>
          <m:t>5</m:t>
        </m:r>
      </m:oMath>
      <w:r>
        <w:t xml:space="preserve">0.75** posted in Q2 2025.</w:t>
      </w:r>
    </w:p>
    <w:p>
      <w:pPr>
        <w:pStyle w:val="Compact"/>
        <w:numPr>
          <w:ilvl w:val="0"/>
          <w:numId w:val="1001"/>
        </w:numPr>
      </w:pPr>
      <w:r>
        <w:rPr>
          <w:b/>
          <w:bCs/>
        </w:rPr>
        <w:t xml:space="preserve">Q2 revenue: ~$3.6 billion</w:t>
      </w:r>
      <w:r>
        <w:t xml:space="preserve">, up ~9% YoY (vs. $3.29B in Q2 2025).</w:t>
      </w:r>
    </w:p>
    <w:p>
      <w:pPr>
        <w:pStyle w:val="Compact"/>
        <w:numPr>
          <w:ilvl w:val="0"/>
          <w:numId w:val="1001"/>
        </w:numPr>
      </w:pPr>
      <w:r>
        <w:rPr>
          <w:b/>
          <w:bCs/>
        </w:rPr>
        <w:t xml:space="preserve">Full-year 2026 EPS: ~</w:t>
      </w:r>
      <m:oMath>
        <m:r>
          <m:t>4.11</m:t>
        </m:r>
        <m:r>
          <m:rPr>
            <m:sty m:val="p"/>
          </m:rPr>
          <m:t>*</m:t>
        </m:r>
        <m:r>
          <m:rPr>
            <m:sty m:val="p"/>
          </m:rPr>
          <m:t>*</m:t>
        </m:r>
        <m:r>
          <m:rPr>
            <m:sty m:val="p"/>
          </m:rPr>
          <m:t>,</m:t>
        </m:r>
        <m:r>
          <m:t>c</m:t>
        </m:r>
        <m:r>
          <m:t>o</m:t>
        </m:r>
        <m:r>
          <m:t>m</m:t>
        </m:r>
        <m:r>
          <m:t>f</m:t>
        </m:r>
        <m:r>
          <m:t>o</m:t>
        </m:r>
        <m:r>
          <m:t>r</m:t>
        </m:r>
        <m:r>
          <m:t>t</m:t>
        </m:r>
        <m:r>
          <m:t>a</m:t>
        </m:r>
        <m:r>
          <m:t>b</m:t>
        </m:r>
        <m:r>
          <m:t>l</m:t>
        </m:r>
        <m:r>
          <m:t>y</m:t>
        </m:r>
        <m:r>
          <m:t>i</m:t>
        </m:r>
        <m:r>
          <m:t>n</m:t>
        </m:r>
        <m:r>
          <m:t>s</m:t>
        </m:r>
        <m:r>
          <m:t>i</m:t>
        </m:r>
        <m:r>
          <m:t>d</m:t>
        </m:r>
        <m:r>
          <m:t>e</m:t>
        </m:r>
        <m:r>
          <m:t>m</m:t>
        </m:r>
        <m:r>
          <m:t>a</m:t>
        </m:r>
        <m:r>
          <m:t>n</m:t>
        </m:r>
        <m:r>
          <m:t>a</m:t>
        </m:r>
        <m:r>
          <m:t>g</m:t>
        </m:r>
        <m:r>
          <m:t>e</m:t>
        </m:r>
        <m:r>
          <m:t>m</m:t>
        </m:r>
        <m:r>
          <m:t>e</m:t>
        </m:r>
        <m:r>
          <m:t>n</m:t>
        </m:r>
        <m:sSup>
          <m:e>
            <m:r>
              <m:t>t</m:t>
            </m:r>
          </m:e>
          <m:sup>
            <m:r>
              <m:rPr>
                <m:sty m:val="p"/>
              </m:rPr>
              <m:t>′</m:t>
            </m:r>
          </m:sup>
        </m:sSup>
        <m:r>
          <m:t>s</m:t>
        </m:r>
        <m:r>
          <m:t>r</m:t>
        </m:r>
        <m:r>
          <m:t>e</m:t>
        </m:r>
        <m:r>
          <m:t>a</m:t>
        </m:r>
        <m:r>
          <m:t>f</m:t>
        </m:r>
        <m:r>
          <m:t>f</m:t>
        </m:r>
        <m:r>
          <m:t>i</m:t>
        </m:r>
        <m:r>
          <m:t>r</m:t>
        </m:r>
        <m:r>
          <m:t>m</m:t>
        </m:r>
        <m:r>
          <m:t>e</m:t>
        </m:r>
        <m:r>
          <m:t>d</m:t>
        </m:r>
        <m:r>
          <m:t>g</m:t>
        </m:r>
        <m:r>
          <m:t>u</m:t>
        </m:r>
        <m:r>
          <m:t>i</m:t>
        </m:r>
        <m:r>
          <m:t>d</m:t>
        </m:r>
        <m:r>
          <m:t>a</m:t>
        </m:r>
        <m:r>
          <m:t>n</m:t>
        </m:r>
        <m:r>
          <m:t>c</m:t>
        </m:r>
        <m:r>
          <m:t>e</m:t>
        </m:r>
        <m:r>
          <m:t>r</m:t>
        </m:r>
        <m:r>
          <m:t>a</m:t>
        </m:r>
        <m:r>
          <m:t>n</m:t>
        </m:r>
        <m:r>
          <m:t>g</m:t>
        </m:r>
        <m:r>
          <m:t>e</m:t>
        </m:r>
        <m:r>
          <m:t>o</m:t>
        </m:r>
        <m:r>
          <m:t>f</m:t>
        </m:r>
        <m:r>
          <m:rPr>
            <m:sty m:val="p"/>
          </m:rPr>
          <m:t>*</m:t>
        </m:r>
        <m:r>
          <m:rPr>
            <m:sty m:val="p"/>
          </m:rPr>
          <m:t>*</m:t>
        </m:r>
      </m:oMath>
      <w:r>
        <w:rPr>
          <w:b/>
          <w:bCs/>
        </w:rPr>
        <w:t xml:space="preserve">4.04–$4.16</w:t>
      </w:r>
      <w:r>
        <w:t xml:space="preserve">.</w:t>
      </w:r>
    </w:p>
    <w:p>
      <w:pPr>
        <w:pStyle w:val="FirstParagraph"/>
      </w:pPr>
      <w:r>
        <w:t xml:space="preserve">Note on comparability: Q2 2025 had no non-GAAP adjustments (GAAP = ongoing = $0.75). In 2026, XEL has been carving out two Q1 items (a Prairie Island outage charge and a Marshall wildfire insurance credit), so watch for the GAAP-vs-ongoing bridge again this quarter.</w:t>
      </w:r>
    </w:p>
    <w:p>
      <w:r>
        <w:pict>
          <v:rect style="width:0;height:1.5pt" o:hralign="center" o:hrstd="t" o:hr="t"/>
        </w:pict>
      </w:r>
    </w:p>
    <w:bookmarkEnd w:id="10"/>
    <w:bookmarkStart w:id="11" w:name="Xdc257ad3069e9124bc5fc8003e608f2a7b149ba"/>
    <w:p>
      <w:pPr>
        <w:pStyle w:val="Heading2"/>
      </w:pPr>
      <w:r>
        <w:t xml:space="preserve">2. What Happened Last Quarter (Q1 2026 recap)</w:t>
      </w:r>
    </w:p>
    <w:p>
      <w:pPr>
        <w:pStyle w:val="FirstParagraph"/>
      </w:pPr>
      <w:r>
        <w:t xml:space="preserve">Q1 set a constructive tone:</w:t>
      </w:r>
    </w:p>
    <w:p>
      <w:pPr>
        <w:pStyle w:val="Compact"/>
        <w:numPr>
          <w:ilvl w:val="0"/>
          <w:numId w:val="1002"/>
        </w:numPr>
      </w:pPr>
      <w:r>
        <w:rPr>
          <w:b/>
          <w:bCs/>
        </w:rPr>
        <w:t xml:space="preserve">Ongoing EPS of $0.91 vs.</w:t>
      </w:r>
      <w:r>
        <w:rPr>
          <w:b/>
          <w:bCs/>
        </w:rPr>
        <w:t xml:space="preserve"> </w:t>
      </w:r>
      <m:oMath>
        <m:r>
          <m:t>0.84</m:t>
        </m:r>
        <m:r>
          <m:rPr>
            <m:sty m:val="p"/>
          </m:rPr>
          <m:t>*</m:t>
        </m:r>
        <m:r>
          <m:rPr>
            <m:sty m:val="p"/>
          </m:rPr>
          <m:t>*</m:t>
        </m:r>
        <m:r>
          <m:t>a</m:t>
        </m:r>
        <m:r>
          <m:t>y</m:t>
        </m:r>
        <m:r>
          <m:t>e</m:t>
        </m:r>
        <m:r>
          <m:t>a</m:t>
        </m:r>
        <m:r>
          <m:t>r</m:t>
        </m:r>
        <m:r>
          <m:t>a</m:t>
        </m:r>
        <m:r>
          <m:t>g</m:t>
        </m:r>
        <m:r>
          <m:t>o</m:t>
        </m:r>
        <m:r>
          <m:rPr>
            <m:sty m:val="p"/>
          </m:rPr>
          <m:t>,</m:t>
        </m:r>
        <m:r>
          <m:t>a</m:t>
        </m:r>
        <m:r>
          <m:t>b</m:t>
        </m:r>
        <m:r>
          <m:t>e</m:t>
        </m:r>
        <m:r>
          <m:t>a</m:t>
        </m:r>
        <m:r>
          <m:t>t</m:t>
        </m:r>
        <m:r>
          <m:rPr>
            <m:sty m:val="p"/>
          </m:rPr>
          <m:t>,</m:t>
        </m:r>
        <m:r>
          <m:rPr>
            <m:sty m:val="p"/>
          </m:rPr>
          <m:t>*</m:t>
        </m:r>
        <m:r>
          <m:t>d</m:t>
        </m:r>
        <m:r>
          <m:t>e</m:t>
        </m:r>
        <m:r>
          <m:t>s</m:t>
        </m:r>
        <m:r>
          <m:t>p</m:t>
        </m:r>
        <m:r>
          <m:t>i</m:t>
        </m:r>
        <m:r>
          <m:t>t</m:t>
        </m:r>
        <m:r>
          <m:t>e</m:t>
        </m:r>
        <m:r>
          <m:rPr>
            <m:sty m:val="p"/>
          </m:rPr>
          <m:t>*</m:t>
        </m:r>
        <m:r>
          <m:t>C</m:t>
        </m:r>
        <m:r>
          <m:t>o</m:t>
        </m:r>
        <m:r>
          <m:t>l</m:t>
        </m:r>
        <m:r>
          <m:t>o</m:t>
        </m:r>
        <m:r>
          <m:t>r</m:t>
        </m:r>
        <m:r>
          <m:t>a</m:t>
        </m:r>
        <m:r>
          <m:t>d</m:t>
        </m:r>
        <m:sSup>
          <m:e>
            <m:r>
              <m:t>o</m:t>
            </m:r>
          </m:e>
          <m:sup>
            <m:r>
              <m:rPr>
                <m:sty m:val="p"/>
              </m:rPr>
              <m:t>′</m:t>
            </m:r>
          </m:sup>
        </m:sSup>
        <m:r>
          <m:t>s</m:t>
        </m:r>
        <m:r>
          <m:t>w</m:t>
        </m:r>
        <m:r>
          <m:t>a</m:t>
        </m:r>
        <m:r>
          <m:t>r</m:t>
        </m:r>
        <m:r>
          <m:t>m</m:t>
        </m:r>
        <m:r>
          <m:t>e</m:t>
        </m:r>
        <m:r>
          <m:t>s</m:t>
        </m:r>
        <m:r>
          <m:t>t</m:t>
        </m:r>
        <m:r>
          <m:t>w</m:t>
        </m:r>
        <m:r>
          <m:t>i</m:t>
        </m:r>
        <m:r>
          <m:t>n</m:t>
        </m:r>
        <m:r>
          <m:t>t</m:t>
        </m:r>
        <m:r>
          <m:t>e</m:t>
        </m:r>
        <m:r>
          <m:t>r</m:t>
        </m:r>
        <m:r>
          <m:t>o</m:t>
        </m:r>
        <m:r>
          <m:t>n</m:t>
        </m:r>
        <m:r>
          <m:t>r</m:t>
        </m:r>
        <m:r>
          <m:t>e</m:t>
        </m:r>
        <m:r>
          <m:t>c</m:t>
        </m:r>
        <m:r>
          <m:t>o</m:t>
        </m:r>
        <m:r>
          <m:t>r</m:t>
        </m:r>
        <m:r>
          <m:t>d</m:t>
        </m:r>
        <m:r>
          <m:rPr>
            <m:sty m:val="p"/>
          </m:rPr>
          <m:t>—</m:t>
        </m:r>
        <m:r>
          <m:t>w</m:t>
        </m:r>
        <m:r>
          <m:t>e</m:t>
        </m:r>
        <m:r>
          <m:t>a</m:t>
        </m:r>
        <m:r>
          <m:t>t</m:t>
        </m:r>
        <m:r>
          <m:t>h</m:t>
        </m:r>
        <m:r>
          <m:t>e</m:t>
        </m:r>
        <m:r>
          <m:t>r</m:t>
        </m:r>
        <m:r>
          <m:t>w</m:t>
        </m:r>
        <m:r>
          <m:t>a</m:t>
        </m:r>
        <m:r>
          <m:t>s</m:t>
        </m:r>
        <m:r>
          <m:t>a</m:t>
        </m:r>
        <m:r>
          <m:rPr>
            <m:sty m:val="p"/>
          </m:rPr>
          <m:t>*</m:t>
        </m:r>
        <m:r>
          <m:rPr>
            <m:sty m:val="p"/>
          </m:rPr>
          <m:t>*</m:t>
        </m:r>
      </m:oMath>
      <w:r>
        <w:rPr>
          <w:b/>
          <w:bCs/>
        </w:rPr>
        <w:t xml:space="preserve">0.09 headwind</w:t>
      </w:r>
      <w:r>
        <w:t xml:space="preserve"> </w:t>
      </w:r>
      <w:r>
        <w:t xml:space="preserve">vs. normal.</w:t>
      </w:r>
    </w:p>
    <w:p>
      <w:pPr>
        <w:pStyle w:val="Compact"/>
        <w:numPr>
          <w:ilvl w:val="0"/>
          <w:numId w:val="1002"/>
        </w:numPr>
      </w:pPr>
      <w:r>
        <w:t xml:space="preserve">Weather-normalized</w:t>
      </w:r>
      <w:r>
        <w:t xml:space="preserve"> </w:t>
      </w:r>
      <w:r>
        <w:rPr>
          <w:b/>
          <w:bCs/>
        </w:rPr>
        <w:t xml:space="preserve">electric sales grew 2.8%</w:t>
      </w:r>
      <w:r>
        <w:t xml:space="preserve">, tracking toward the full-year</w:t>
      </w:r>
      <w:r>
        <w:t xml:space="preserve"> </w:t>
      </w:r>
      <w:r>
        <w:rPr>
          <w:b/>
          <w:bCs/>
        </w:rPr>
        <w:t xml:space="preserve">~3%</w:t>
      </w:r>
      <w:r>
        <w:t xml:space="preserve"> </w:t>
      </w:r>
      <w:r>
        <w:t xml:space="preserve">target, led by SPS (oil &amp; gas / C&amp;I) and broad C&amp;I strength.</w:t>
      </w:r>
    </w:p>
    <w:p>
      <w:pPr>
        <w:pStyle w:val="Compact"/>
        <w:numPr>
          <w:ilvl w:val="0"/>
          <w:numId w:val="1002"/>
        </w:numPr>
      </w:pPr>
      <w:r>
        <w:t xml:space="preserve">Key drivers: higher electric revenue from rate cases, riders and sales (+</w:t>
      </w:r>
      <m:oMath>
        <m:r>
          <m:t>0.23</m:t>
        </m:r>
        <m:r>
          <m:rPr>
            <m:sty m:val="p"/>
          </m:rPr>
          <m:t>)</m:t>
        </m:r>
        <m:r>
          <m:t>a</m:t>
        </m:r>
        <m:r>
          <m:t>n</m:t>
        </m:r>
        <m:r>
          <m:t>d</m:t>
        </m:r>
        <m:r>
          <m:t>h</m:t>
        </m:r>
        <m:r>
          <m:t>i</m:t>
        </m:r>
        <m:r>
          <m:t>g</m:t>
        </m:r>
        <m:r>
          <m:t>h</m:t>
        </m:r>
        <m:r>
          <m:t>e</m:t>
        </m:r>
        <m:r>
          <m:t>r</m:t>
        </m:r>
        <m:r>
          <m:t>A</m:t>
        </m:r>
        <m:r>
          <m:t>F</m:t>
        </m:r>
        <m:r>
          <m:t>U</m:t>
        </m:r>
        <m:r>
          <m:t>D</m:t>
        </m:r>
        <m:r>
          <m:t>C</m:t>
        </m:r>
        <m:r>
          <m:rPr>
            <m:sty m:val="p"/>
          </m:rPr>
          <m:t>(</m:t>
        </m:r>
        <m:r>
          <m:rPr>
            <m:sty m:val="p"/>
          </m:rPr>
          <m:t>+</m:t>
        </m:r>
      </m:oMath>
      <w:r>
        <w:t xml:space="preserve">0.10), **partly offset by higher interest and equity dilution (−</w:t>
      </w:r>
      <w:r>
        <w:t xml:space="preserve">$0.18)** and D&amp;A (−$</w:t>
      </w:r>
      <w:r>
        <w:t xml:space="preserve">0.05). This interest/dilution drag is the recurring tension in the story.</w:t>
      </w:r>
    </w:p>
    <w:p>
      <w:pPr>
        <w:pStyle w:val="Compact"/>
        <w:numPr>
          <w:ilvl w:val="0"/>
          <w:numId w:val="1002"/>
        </w:numPr>
      </w:pPr>
      <w:r>
        <w:t xml:space="preserve">Guidance was reaffirmed, along with the long-term algorithm:</w:t>
      </w:r>
      <w:r>
        <w:t xml:space="preserve"> </w:t>
      </w:r>
      <w:r>
        <w:rPr>
          <w:b/>
          <w:bCs/>
        </w:rPr>
        <w:t xml:space="preserve">6–8%+ EPS growth off a $3.80 base, ~9% average annual EPS growth through 2030</w:t>
      </w:r>
      <w:r>
        <w:t xml:space="preserve">, and a 4–6% dividend growth target.</w:t>
      </w:r>
    </w:p>
    <w:p>
      <w:r>
        <w:pict>
          <v:rect style="width:0;height:1.5pt" o:hralign="center" o:hrstd="t" o:hr="t"/>
        </w:pict>
      </w:r>
    </w:p>
    <w:bookmarkEnd w:id="11"/>
    <w:bookmarkStart w:id="12" w:name="X0f312903a81cdfea7b98f9af2faef2c3e96a2c1"/>
    <w:p>
      <w:pPr>
        <w:pStyle w:val="Heading2"/>
      </w:pPr>
      <w:r>
        <w:t xml:space="preserve">3. The Biggest Swing Factor: Regulatory Outcomes</w:t>
      </w:r>
    </w:p>
    <w:p>
      <w:pPr>
        <w:pStyle w:val="FirstParagraph"/>
      </w:pPr>
      <w:r>
        <w:t xml:space="preserve">A lot has moved</w:t>
      </w:r>
      <w:r>
        <w:t xml:space="preserve"> </w:t>
      </w:r>
      <w:r>
        <w:rPr>
          <w:i/>
          <w:iCs/>
        </w:rPr>
        <w:t xml:space="preserve">since</w:t>
      </w:r>
      <w:r>
        <w:t xml:space="preserve"> </w:t>
      </w:r>
      <w:r>
        <w:t xml:space="preserve">the April call, so this print will be the first chance to hear management contextualize several outcomes:</w:t>
      </w:r>
    </w:p>
    <w:p>
      <w:pPr>
        <w:pStyle w:val="BodyText"/>
      </w:pPr>
      <w:r>
        <w:rPr>
          <w:b/>
          <w:bCs/>
        </w:rPr>
        <w:t xml:space="preserve">Colorado Electric (PSCo) — the one that matters most.</w:t>
      </w:r>
      <w:r>
        <w:t xml:space="preserve"> </w:t>
      </w:r>
      <w:r>
        <w:t xml:space="preserve">On June 2, PSCo filed a</w:t>
      </w:r>
      <w:r>
        <w:t xml:space="preserve"> </w:t>
      </w:r>
      <w:r>
        <w:rPr>
          <w:b/>
          <w:bCs/>
        </w:rPr>
        <w:t xml:space="preserve">comprehensive but non-unanimous settlement</w:t>
      </w:r>
      <w:r>
        <w:t xml:space="preserve">: revenue increase cut to</w:t>
      </w:r>
      <w:r>
        <w:t xml:space="preserve"> </w:t>
      </w:r>
      <w:r>
        <w:rPr>
          <w:b/>
          <w:bCs/>
        </w:rPr>
        <w:t xml:space="preserve">~$225M (6.3%)</w:t>
      </w:r>
      <w:r>
        <w:t xml:space="preserve"> </w:t>
      </w:r>
      <w:r>
        <w:t xml:space="preserve">from the originally requested $356M (9.9%), with a</w:t>
      </w:r>
      <w:r>
        <w:t xml:space="preserve"> </w:t>
      </w:r>
      <w:r>
        <w:rPr>
          <w:b/>
          <w:bCs/>
        </w:rPr>
        <w:t xml:space="preserve">9.3% ROE and 54.5% equity ratio</w:t>
      </w:r>
      <w:r>
        <w:t xml:space="preserve">, plus a performance framework for Comanche 3. Importantly, the deal was</w:t>
      </w:r>
      <w:r>
        <w:t xml:space="preserve"> </w:t>
      </w:r>
      <w:r>
        <w:rPr>
          <w:b/>
          <w:bCs/>
        </w:rPr>
        <w:t xml:space="preserve">opposed by the UCA, AARP and the City of Boulder</w:t>
      </w:r>
      <w:r>
        <w:t xml:space="preserve">, so it is not a done deal — a CPUC decision is expected in Q3. Given Colorado is XEL's largest jurisdiction and the historic source of regulatory lag,</w:t>
      </w:r>
      <w:r>
        <w:t xml:space="preserve"> </w:t>
      </w:r>
      <w:r>
        <w:rPr>
          <w:b/>
          <w:bCs/>
        </w:rPr>
        <w:t xml:space="preserve">the durability of this settlement (and the 9.3% ROE / 54.5% equity terms) is the single most important regulatory watch item.</w:t>
      </w:r>
    </w:p>
    <w:p>
      <w:pPr>
        <w:pStyle w:val="BodyText"/>
      </w:pPr>
      <w:r>
        <w:rPr>
          <w:b/>
          <w:bCs/>
        </w:rPr>
        <w:t xml:space="preserve">Minnesota Electric.</w:t>
      </w:r>
      <w:r>
        <w:t xml:space="preserve"> </w:t>
      </w:r>
      <w:r>
        <w:t xml:space="preserve">The MPUC issued a</w:t>
      </w:r>
      <w:r>
        <w:t xml:space="preserve"> </w:t>
      </w:r>
      <w:r>
        <w:rPr>
          <w:b/>
          <w:bCs/>
        </w:rPr>
        <w:t xml:space="preserve">verbal order on June 22 setting a 9.60% ROE</w:t>
      </w:r>
      <w:r>
        <w:t xml:space="preserve">, with the final written order due by July 31 (i.e., right around this print). XEL reaffirmed 2026 guidance on the back of it. Listen for any final-order nuances on trackers and the sales true-up mechanism.</w:t>
      </w:r>
    </w:p>
    <w:p>
      <w:pPr>
        <w:pStyle w:val="BodyText"/>
      </w:pPr>
      <w:r>
        <w:rPr>
          <w:b/>
          <w:bCs/>
        </w:rPr>
        <w:t xml:space="preserve">Other cases in flight:</w:t>
      </w:r>
    </w:p>
    <w:p>
      <w:pPr>
        <w:pStyle w:val="Compact"/>
        <w:numPr>
          <w:ilvl w:val="0"/>
          <w:numId w:val="1003"/>
        </w:numPr>
      </w:pPr>
      <w:r>
        <w:rPr>
          <w:b/>
          <w:bCs/>
        </w:rPr>
        <w:t xml:space="preserve">Colorado Gas:</w:t>
      </w:r>
      <w:r>
        <w:t xml:space="preserve"> </w:t>
      </w:r>
      <w:r>
        <w:t xml:space="preserve">settlement proposing</w:t>
      </w:r>
      <w:r>
        <w:t xml:space="preserve"> </w:t>
      </w:r>
      <w:r>
        <w:rPr>
          <w:b/>
          <w:bCs/>
        </w:rPr>
        <w:t xml:space="preserve">~$123M (9.2% ROE, 54.5% equity)</w:t>
      </w:r>
      <w:r>
        <w:t xml:space="preserve">, down sharply from the $190M request; decision expected Q4.</w:t>
      </w:r>
    </w:p>
    <w:p>
      <w:pPr>
        <w:pStyle w:val="Compact"/>
        <w:numPr>
          <w:ilvl w:val="0"/>
          <w:numId w:val="1003"/>
        </w:numPr>
      </w:pPr>
      <w:r>
        <w:rPr>
          <w:b/>
          <w:bCs/>
        </w:rPr>
        <w:t xml:space="preserve">SPS New Mexico Electric:</w:t>
      </w:r>
      <w:r>
        <w:t xml:space="preserve"> </w:t>
      </w:r>
      <w:r>
        <w:t xml:space="preserve">$168M request (10.5% ROE, 56% equity), hearing was July 7, decision expected Q4.</w:t>
      </w:r>
    </w:p>
    <w:p>
      <w:pPr>
        <w:pStyle w:val="Compact"/>
        <w:numPr>
          <w:ilvl w:val="0"/>
          <w:numId w:val="1003"/>
        </w:numPr>
      </w:pPr>
      <w:r>
        <w:rPr>
          <w:b/>
          <w:bCs/>
        </w:rPr>
        <w:t xml:space="preserve">South Dakota Electric:</w:t>
      </w:r>
      <w:r>
        <w:t xml:space="preserve"> </w:t>
      </w:r>
      <w:r>
        <w:t xml:space="preserve">$26M black-box settlement, decision was due in Q2 — expect confirmation.</w:t>
      </w:r>
    </w:p>
    <w:p>
      <w:pPr>
        <w:pStyle w:val="FirstParagraph"/>
      </w:pPr>
      <w:r>
        <w:t xml:space="preserve">Management flagged in April that hitting these "constructive outcomes" is a core guidance assumption, so any negative surprise (especially a rejected CO settlement) is the main downside risk to the algorithm.</w:t>
      </w:r>
    </w:p>
    <w:p>
      <w:r>
        <w:pict>
          <v:rect style="width:0;height:1.5pt" o:hralign="center" o:hrstd="t" o:hr="t"/>
        </w:pict>
      </w:r>
    </w:p>
    <w:bookmarkEnd w:id="12"/>
    <w:bookmarkStart w:id="13" w:name="X068e0bcc12ecc955fef788c0debb58833f70172"/>
    <w:p>
      <w:pPr>
        <w:pStyle w:val="Heading2"/>
      </w:pPr>
      <w:r>
        <w:t xml:space="preserve">4. The Growth Story: Data Centers &amp; Capex</w:t>
      </w:r>
    </w:p>
    <w:p>
      <w:pPr>
        <w:pStyle w:val="FirstParagraph"/>
      </w:pPr>
      <w:r>
        <w:t xml:space="preserve">This is what investors are really buying. Key items to track for updates:</w:t>
      </w:r>
    </w:p>
    <w:p>
      <w:pPr>
        <w:pStyle w:val="Compact"/>
        <w:numPr>
          <w:ilvl w:val="0"/>
          <w:numId w:val="1004"/>
        </w:numPr>
      </w:pPr>
      <w:r>
        <w:rPr>
          <w:b/>
          <w:bCs/>
        </w:rPr>
        <w:t xml:space="preserve">2026 capex of ~</w:t>
      </w:r>
      <m:oMath>
        <m:r>
          <m:t>14</m:t>
        </m:r>
        <m:r>
          <m:t>B</m:t>
        </m:r>
        <m:r>
          <m:rPr>
            <m:sty m:val="p"/>
          </m:rPr>
          <m:t>*</m:t>
        </m:r>
        <m:r>
          <m:rPr>
            <m:sty m:val="p"/>
          </m:rPr>
          <m:t>*</m:t>
        </m:r>
        <m:r>
          <m:rPr>
            <m:sty m:val="p"/>
          </m:rPr>
          <m:t>—</m:t>
        </m:r>
        <m:r>
          <m:t>t</m:t>
        </m:r>
        <m:r>
          <m:t>h</m:t>
        </m:r>
        <m:r>
          <m:t>e</m:t>
        </m:r>
        <m:r>
          <m:t>l</m:t>
        </m:r>
        <m:r>
          <m:t>a</m:t>
        </m:r>
        <m:r>
          <m:t>r</m:t>
        </m:r>
        <m:r>
          <m:t>g</m:t>
        </m:r>
        <m:r>
          <m:t>e</m:t>
        </m:r>
        <m:r>
          <m:t>s</m:t>
        </m:r>
        <m:r>
          <m:t>t</m:t>
        </m:r>
        <m:r>
          <m:t>i</m:t>
        </m:r>
        <m:r>
          <m:t>n</m:t>
        </m:r>
        <m:r>
          <m:t>c</m:t>
        </m:r>
        <m:r>
          <m:t>o</m:t>
        </m:r>
        <m:r>
          <m:t>m</m:t>
        </m:r>
        <m:r>
          <m:t>p</m:t>
        </m:r>
        <m:r>
          <m:t>a</m:t>
        </m:r>
        <m:r>
          <m:t>n</m:t>
        </m:r>
        <m:r>
          <m:t>y</m:t>
        </m:r>
        <m:r>
          <m:t>h</m:t>
        </m:r>
        <m:r>
          <m:t>i</m:t>
        </m:r>
        <m:r>
          <m:t>s</m:t>
        </m:r>
        <m:r>
          <m:t>t</m:t>
        </m:r>
        <m:r>
          <m:t>o</m:t>
        </m:r>
        <m:r>
          <m:t>r</m:t>
        </m:r>
        <m:r>
          <m:t>y</m:t>
        </m:r>
        <m:r>
          <m:rPr>
            <m:sty m:val="p"/>
          </m:rPr>
          <m:t>—</m:t>
        </m:r>
        <m:r>
          <m:t>i</m:t>
        </m:r>
        <m:r>
          <m:t>n</m:t>
        </m:r>
        <m:r>
          <m:t>s</m:t>
        </m:r>
        <m:r>
          <m:t>i</m:t>
        </m:r>
        <m:r>
          <m:t>d</m:t>
        </m:r>
        <m:r>
          <m:t>e</m:t>
        </m:r>
        <m:r>
          <m:t>a</m:t>
        </m:r>
        <m:r>
          <m:rPr>
            <m:sty m:val="p"/>
          </m:rPr>
          <m:t>*</m:t>
        </m:r>
        <m:r>
          <m:rPr>
            <m:sty m:val="p"/>
          </m:rPr>
          <m:t>*</m:t>
        </m:r>
      </m:oMath>
      <w:r>
        <w:rPr>
          <w:b/>
          <w:bCs/>
        </w:rPr>
        <w:t xml:space="preserve">60B five-year base plan</w:t>
      </w:r>
      <w:r>
        <w:t xml:space="preserve">, plus a</w:t>
      </w:r>
      <w:r>
        <w:t xml:space="preserve"> </w:t>
      </w:r>
      <w:r>
        <w:rPr>
          <w:b/>
          <w:bCs/>
        </w:rPr>
        <w:t xml:space="preserve">$10B+ incremental opportunity</w:t>
      </w:r>
      <w:r>
        <w:t xml:space="preserve"> </w:t>
      </w:r>
      <w:r>
        <w:t xml:space="preserve">for which management now has</w:t>
      </w:r>
      <w:r>
        <w:t xml:space="preserve"> </w:t>
      </w:r>
      <w:r>
        <w:rPr>
          <w:b/>
          <w:bCs/>
        </w:rPr>
        <w:t xml:space="preserve">line of sight to $7B+</w:t>
      </w:r>
      <w:r>
        <w:t xml:space="preserve">.</w:t>
      </w:r>
    </w:p>
    <w:p>
      <w:pPr>
        <w:pStyle w:val="Compact"/>
        <w:numPr>
          <w:ilvl w:val="0"/>
          <w:numId w:val="1004"/>
        </w:numPr>
      </w:pPr>
      <w:r>
        <w:rPr>
          <w:b/>
          <w:bCs/>
        </w:rPr>
        <w:t xml:space="preserve">Data centers:</w:t>
      </w:r>
      <w:r>
        <w:t xml:space="preserve"> </w:t>
      </w:r>
      <w:r>
        <w:t xml:space="preserve">The landmark</w:t>
      </w:r>
      <w:r>
        <w:t xml:space="preserve"> </w:t>
      </w:r>
      <w:r>
        <w:rPr>
          <w:b/>
          <w:bCs/>
        </w:rPr>
        <w:t xml:space="preserve">Google ESA in Minnesota</w:t>
      </w:r>
      <w:r>
        <w:t xml:space="preserve"> </w:t>
      </w:r>
      <w:r>
        <w:t xml:space="preserve">(1,900 MW of new wind/solar plus Form Energy's 100-hour iron-air storage; Google pays all costs; ~$1.1B of customer benefits) was filed with the MPUC in April. Management targets</w:t>
      </w:r>
      <w:r>
        <w:t xml:space="preserve"> </w:t>
      </w:r>
      <w:r>
        <w:rPr>
          <w:b/>
          <w:bCs/>
        </w:rPr>
        <w:t xml:space="preserve">6 GW of data-center load contracted by year-end 2027</w:t>
      </w:r>
      <w:r>
        <w:t xml:space="preserve"> </w:t>
      </w:r>
      <w:r>
        <w:t xml:space="preserve">(3 GW this year, 3 GW next), against a</w:t>
      </w:r>
      <w:r>
        <w:t xml:space="preserve"> </w:t>
      </w:r>
      <w:r>
        <w:rPr>
          <w:b/>
          <w:bCs/>
        </w:rPr>
        <w:t xml:space="preserve">&gt;20 GW pipeline</w:t>
      </w:r>
      <w:r>
        <w:t xml:space="preserve">, plus a</w:t>
      </w:r>
      <w:r>
        <w:t xml:space="preserve"> </w:t>
      </w:r>
      <w:r>
        <w:rPr>
          <w:b/>
          <w:bCs/>
        </w:rPr>
        <w:t xml:space="preserve">JDA with NextEra</w:t>
      </w:r>
      <w:r>
        <w:t xml:space="preserve"> </w:t>
      </w:r>
      <w:r>
        <w:t xml:space="preserve">(2 GW+ and "unbounded"). Any new ESA signings or approvals would be a positive catalyst.</w:t>
      </w:r>
    </w:p>
    <w:p>
      <w:pPr>
        <w:pStyle w:val="Compact"/>
        <w:numPr>
          <w:ilvl w:val="0"/>
          <w:numId w:val="1004"/>
        </w:numPr>
      </w:pPr>
      <w:r>
        <w:rPr>
          <w:b/>
          <w:bCs/>
        </w:rPr>
        <w:t xml:space="preserve">Execution de-risking:</w:t>
      </w:r>
      <w:r>
        <w:t xml:space="preserve"> </w:t>
      </w:r>
      <w:r>
        <w:t xml:space="preserve">framework agreements with GE Vernova, NextEra and Tier-1 EPCs;</w:t>
      </w:r>
      <w:r>
        <w:t xml:space="preserve"> </w:t>
      </w:r>
      <w:r>
        <w:rPr>
          <w:b/>
          <w:bCs/>
        </w:rPr>
        <w:t xml:space="preserve">24 gas turbines slotted</w:t>
      </w:r>
      <w:r>
        <w:t xml:space="preserve"> </w:t>
      </w:r>
      <w:r>
        <w:t xml:space="preserve">over five years. XEL is leaning hard on the "scale + supply-chain lock-in" narrative to differentiate.</w:t>
      </w:r>
    </w:p>
    <w:p>
      <w:pPr>
        <w:pStyle w:val="Compact"/>
        <w:numPr>
          <w:ilvl w:val="0"/>
          <w:numId w:val="1004"/>
        </w:numPr>
      </w:pPr>
      <w:r>
        <w:t xml:space="preserve">Note: the</w:t>
      </w:r>
      <w:r>
        <w:t xml:space="preserve"> </w:t>
      </w:r>
      <w:r>
        <w:rPr>
          <w:b/>
          <w:bCs/>
        </w:rPr>
        <w:t xml:space="preserve">comprehensive five-year capital-plan roll-forward typically comes on the Q3 (October) call</w:t>
      </w:r>
      <w:r>
        <w:t xml:space="preserve">, so don't expect a big base-plan reset tomorrow — more likely incremental color.</w:t>
      </w:r>
    </w:p>
    <w:p>
      <w:r>
        <w:pict>
          <v:rect style="width:0;height:1.5pt" o:hralign="center" o:hrstd="t" o:hr="t"/>
        </w:pict>
      </w:r>
    </w:p>
    <w:bookmarkEnd w:id="13"/>
    <w:bookmarkStart w:id="14" w:name="X848d2be2e0c150da191bd3c6df48f63e8981d7e"/>
    <w:p>
      <w:pPr>
        <w:pStyle w:val="Heading2"/>
      </w:pPr>
      <w:r>
        <w:t xml:space="preserve">5. Balance Sheet, Financing &amp; Dilution</w:t>
      </w:r>
    </w:p>
    <w:p>
      <w:pPr>
        <w:pStyle w:val="FirstParagraph"/>
      </w:pPr>
      <w:r>
        <w:t xml:space="preserve">The flip side of the capex boom is persistent equity issuance and rate-sensitivity:</w:t>
      </w:r>
    </w:p>
    <w:p>
      <w:pPr>
        <w:pStyle w:val="Compact"/>
        <w:numPr>
          <w:ilvl w:val="0"/>
          <w:numId w:val="1005"/>
        </w:numPr>
      </w:pPr>
      <w:r>
        <w:t xml:space="preserve">Diluted share count has climbed to</w:t>
      </w:r>
      <w:r>
        <w:t xml:space="preserve"> </w:t>
      </w:r>
      <w:r>
        <w:rPr>
          <w:b/>
          <w:bCs/>
        </w:rPr>
        <w:t xml:space="preserve">~626M (Q1 '26)</w:t>
      </w:r>
      <w:r>
        <w:t xml:space="preserve"> </w:t>
      </w:r>
      <w:r>
        <w:t xml:space="preserve">from</w:t>
      </w:r>
      <w:r>
        <w:t xml:space="preserve"> </w:t>
      </w:r>
      <w:r>
        <w:rPr>
          <w:b/>
          <w:bCs/>
        </w:rPr>
        <w:t xml:space="preserve">~588M</w:t>
      </w:r>
      <w:r>
        <w:t xml:space="preserve"> </w:t>
      </w:r>
      <w:r>
        <w:t xml:space="preserve">a year earlier — a real EPS headwind.</w:t>
      </w:r>
    </w:p>
    <w:p>
      <w:pPr>
        <w:pStyle w:val="Compact"/>
        <w:numPr>
          <w:ilvl w:val="0"/>
          <w:numId w:val="1005"/>
        </w:numPr>
      </w:pPr>
      <w:r>
        <w:t xml:space="preserve">XEL has a</w:t>
      </w:r>
      <w:r>
        <w:t xml:space="preserve"> </w:t>
      </w:r>
      <w:r>
        <w:rPr>
          <w:b/>
          <w:bCs/>
        </w:rPr>
        <w:t xml:space="preserve">~$7B equity need</w:t>
      </w:r>
      <w:r>
        <w:t xml:space="preserve"> </w:t>
      </w:r>
      <w:r>
        <w:t xml:space="preserve">in the base plan and had</w:t>
      </w:r>
      <w:r>
        <w:t xml:space="preserve"> </w:t>
      </w:r>
      <w:r>
        <w:rPr>
          <w:b/>
          <w:bCs/>
        </w:rPr>
        <w:t xml:space="preserve">already addressed over half</w:t>
      </w:r>
      <w:r>
        <w:t xml:space="preserve"> </w:t>
      </w:r>
      <w:r>
        <w:t xml:space="preserve">by Q1 (over $1B of new ATM forwards in Q1, an $800M junior sub note with 50% equity credit). Incremental capex is being funded ~40% with equity as a rule of thumb.</w:t>
      </w:r>
    </w:p>
    <w:p>
      <w:pPr>
        <w:pStyle w:val="Compact"/>
        <w:numPr>
          <w:ilvl w:val="0"/>
          <w:numId w:val="1005"/>
        </w:numPr>
      </w:pPr>
      <w:r>
        <w:rPr>
          <w:b/>
          <w:bCs/>
        </w:rPr>
        <w:t xml:space="preserve">Credit is the pressure point:</w:t>
      </w:r>
      <w:r>
        <w:t xml:space="preserve"> </w:t>
      </w:r>
      <w:r>
        <w:t xml:space="preserve">Moody's holds a</w:t>
      </w:r>
      <w:r>
        <w:t xml:space="preserve"> </w:t>
      </w:r>
      <w:r>
        <w:rPr>
          <w:b/>
          <w:bCs/>
        </w:rPr>
        <w:t xml:space="preserve">negative outlook on the XEL parent (Baa1) and PSCo (A1)</w:t>
      </w:r>
      <w:r>
        <w:t xml:space="preserve">; management is defending a ~17% CFO/debt metric. Watch for any commentary on alternative/hyperscaler financing structures.</w:t>
      </w:r>
    </w:p>
    <w:p>
      <w:pPr>
        <w:pStyle w:val="Compact"/>
        <w:numPr>
          <w:ilvl w:val="0"/>
          <w:numId w:val="1005"/>
        </w:numPr>
      </w:pPr>
      <w:r>
        <w:t xml:space="preserve">Capital structure at Q1:</w:t>
      </w:r>
      <w:r>
        <w:t xml:space="preserve"> </w:t>
      </w:r>
      <w:r>
        <w:rPr>
          <w:b/>
          <w:bCs/>
        </w:rPr>
        <w:t xml:space="preserve">~61% debt / 39% equity</w:t>
      </w:r>
      <w:r>
        <w:t xml:space="preserve">; book value ~$38/share.</w:t>
      </w:r>
    </w:p>
    <w:p>
      <w:r>
        <w:pict>
          <v:rect style="width:0;height:1.5pt" o:hralign="center" o:hrstd="t" o:hr="t"/>
        </w:pict>
      </w:r>
    </w:p>
    <w:bookmarkEnd w:id="14"/>
    <w:bookmarkStart w:id="15" w:name="X8ad62b1af4d0c21ea90887befda320a8695ba49"/>
    <w:p>
      <w:pPr>
        <w:pStyle w:val="Heading2"/>
      </w:pPr>
      <w:r>
        <w:t xml:space="preserve">6. Wildfire Litigation — Tail Risk, Trending Better</w:t>
      </w:r>
    </w:p>
    <w:p>
      <w:pPr>
        <w:pStyle w:val="Compact"/>
        <w:numPr>
          <w:ilvl w:val="0"/>
          <w:numId w:val="1006"/>
        </w:numPr>
      </w:pPr>
      <w:r>
        <w:rPr>
          <w:b/>
          <w:bCs/>
        </w:rPr>
        <w:t xml:space="preserve">Smokehouse Creek (SPS, Texas):</w:t>
      </w:r>
      <w:r>
        <w:t xml:space="preserve"> </w:t>
      </w:r>
      <w:r>
        <w:t xml:space="preserve">low-end estimated liability raised to</w:t>
      </w:r>
      <w:r>
        <w:t xml:space="preserve"> </w:t>
      </w:r>
      <m:oMath>
        <m:r>
          <m:t>460</m:t>
        </m:r>
        <m:r>
          <m:t>M</m:t>
        </m:r>
        <m:r>
          <m:rPr>
            <m:sty m:val="p"/>
          </m:rPr>
          <m:t>*</m:t>
        </m:r>
        <m:r>
          <m:rPr>
            <m:sty m:val="p"/>
          </m:rPr>
          <m:t>*</m:t>
        </m:r>
        <m:r>
          <m:rPr>
            <m:sty m:val="p"/>
          </m:rPr>
          <m:t>,</m:t>
        </m:r>
        <m:r>
          <m:t>w</m:t>
        </m:r>
        <m:r>
          <m:t>i</m:t>
        </m:r>
        <m:r>
          <m:t>t</m:t>
        </m:r>
        <m:r>
          <m:t>h</m:t>
        </m:r>
        <m:r>
          <m:rPr>
            <m:sty m:val="p"/>
          </m:rPr>
          <m:t>*</m:t>
        </m:r>
        <m:r>
          <m:rPr>
            <m:sty m:val="p"/>
          </m:rPr>
          <m:t>*</m:t>
        </m:r>
        <m:r>
          <m:t> </m:t>
        </m:r>
      </m:oMath>
      <w:r>
        <w:rPr>
          <w:b/>
          <w:bCs/>
        </w:rPr>
        <w:t xml:space="preserve">397M already committed in settlements</w:t>
      </w:r>
      <w:r>
        <w:t xml:space="preserve"> </w:t>
      </w:r>
      <w:r>
        <w:t xml:space="preserve">and 231 of 304 claims resolved. Insurance coverage is</w:t>
      </w:r>
      <w:r>
        <w:t xml:space="preserve"> </w:t>
      </w:r>
      <m:oMath>
        <m:r>
          <m:t>525</m:t>
        </m:r>
        <m:r>
          <m:t>M</m:t>
        </m:r>
        <m:r>
          <m:rPr>
            <m:sty m:val="p"/>
          </m:rPr>
          <m:t>*</m:t>
        </m:r>
        <m:r>
          <m:rPr>
            <m:sty m:val="p"/>
          </m:rPr>
          <m:t>*</m:t>
        </m:r>
        <m:r>
          <m:rPr>
            <m:sty m:val="p"/>
          </m:rPr>
          <m:t>,</m:t>
        </m:r>
        <m:r>
          <m:t>b</m:t>
        </m:r>
        <m:r>
          <m:t>u</m:t>
        </m:r>
        <m:r>
          <m:t>t</m:t>
        </m:r>
        <m:r>
          <m:t>o</m:t>
        </m:r>
        <m:r>
          <m:t>n</m:t>
        </m:r>
        <m:r>
          <m:t>l</m:t>
        </m:r>
        <m:r>
          <m:t>y</m:t>
        </m:r>
        <m:r>
          <m:rPr>
            <m:sty m:val="p"/>
          </m:rPr>
          <m:t>*</m:t>
        </m:r>
        <m:r>
          <m:rPr>
            <m:sty m:val="p"/>
          </m:rPr>
          <m:t>*</m:t>
        </m:r>
        <m:r>
          <m:t> </m:t>
        </m:r>
      </m:oMath>
      <w:r>
        <w:rPr>
          <w:b/>
          <w:bCs/>
        </w:rPr>
        <w:t xml:space="preserve">90M remained</w:t>
      </w:r>
      <w:r>
        <w:t xml:space="preserve"> </w:t>
      </w:r>
      <w:r>
        <w:t xml:space="preserve">after settlements/legal costs as of Q1 — so the cushion is thinning. A Texas AG lawsuit is also pending. Q1 saw an uptick in claims tied to the 2-year statute of limitations; watch whether the accrual holds within insurance.</w:t>
      </w:r>
    </w:p>
    <w:p>
      <w:pPr>
        <w:pStyle w:val="Compact"/>
        <w:numPr>
          <w:ilvl w:val="0"/>
          <w:numId w:val="1006"/>
        </w:numPr>
      </w:pPr>
      <w:r>
        <w:rPr>
          <w:b/>
          <w:bCs/>
        </w:rPr>
        <w:t xml:space="preserve">Marshall Fire (PSCo, Colorado):</w:t>
      </w:r>
      <w:r>
        <w:t xml:space="preserve"> </w:t>
      </w:r>
      <w:r>
        <w:t xml:space="preserve">largely resolved —</w:t>
      </w:r>
      <w:r>
        <w:t xml:space="preserve"> </w:t>
      </w:r>
      <w:r>
        <w:rPr>
          <w:b/>
          <w:bCs/>
        </w:rPr>
        <w:t xml:space="preserve">$640M settlement</w:t>
      </w:r>
      <w:r>
        <w:t xml:space="preserve">, insurance recoveries booked, only three individual plaintiffs remain. Materially de-risked.</w:t>
      </w:r>
    </w:p>
    <w:p>
      <w:r>
        <w:pict>
          <v:rect style="width:0;height:1.5pt" o:hralign="center" o:hrstd="t" o:hr="t"/>
        </w:pict>
      </w:r>
    </w:p>
    <w:bookmarkEnd w:id="15"/>
    <w:bookmarkStart w:id="16" w:name="X11169e14a262f141a9cb6f5afcf3ad02af20138"/>
    <w:p>
      <w:pPr>
        <w:pStyle w:val="Heading2"/>
      </w:pPr>
      <w:r>
        <w:t xml:space="preserve">7. Stock Setup</w:t>
      </w:r>
    </w:p>
    <w:p>
      <w:pPr>
        <w:pStyle w:val="Compact"/>
        <w:numPr>
          <w:ilvl w:val="0"/>
          <w:numId w:val="1007"/>
        </w:numPr>
      </w:pPr>
      <w:r>
        <w:t xml:space="preserve">XEL closed</w:t>
      </w:r>
      <w:r>
        <w:t xml:space="preserve"> </w:t>
      </w:r>
      <w:r>
        <w:rPr>
          <w:b/>
          <w:bCs/>
        </w:rPr>
        <w:t xml:space="preserve">~$78.82 on July 29</w:t>
      </w:r>
      <w:r>
        <w:t xml:space="preserve">, near the middle of its 2026 range (roughly</w:t>
      </w:r>
      <w:r>
        <w:t xml:space="preserve"> </w:t>
      </w:r>
      <m:oMath>
        <m:r>
          <m:t>73</m:t>
        </m:r>
        <m:r>
          <m:t>l</m:t>
        </m:r>
        <m:r>
          <m:t>o</m:t>
        </m:r>
        <m:r>
          <m:t>w</m:t>
        </m:r>
        <m:r>
          <m:t>i</m:t>
        </m:r>
        <m:r>
          <m:t>n</m:t>
        </m:r>
        <m:r>
          <m:t>e</m:t>
        </m:r>
        <m:r>
          <m:t>a</m:t>
        </m:r>
        <m:r>
          <m:t>r</m:t>
        </m:r>
        <m:r>
          <m:t>l</m:t>
        </m:r>
        <m:r>
          <m:t>y</m:t>
        </m:r>
        <m:r>
          <m:t>J</m:t>
        </m:r>
        <m:r>
          <m:t>a</m:t>
        </m:r>
        <m:r>
          <m:t>n</m:t>
        </m:r>
        <m:r>
          <m:t>u</m:t>
        </m:r>
        <m:r>
          <m:t>a</m:t>
        </m:r>
        <m:r>
          <m:t>r</m:t>
        </m:r>
        <m:r>
          <m:t>y</m:t>
        </m:r>
        <m:r>
          <m:t>t</m:t>
        </m:r>
        <m:r>
          <m:t>o</m:t>
        </m:r>
        <m:r>
          <m:t> </m:t>
        </m:r>
      </m:oMath>
      <w:r>
        <w:t xml:space="preserve">84 high in late February).</w:t>
      </w:r>
    </w:p>
    <w:p>
      <w:pPr>
        <w:pStyle w:val="Compact"/>
        <w:numPr>
          <w:ilvl w:val="0"/>
          <w:numId w:val="1007"/>
        </w:numPr>
      </w:pPr>
      <w:r>
        <w:rPr>
          <w:b/>
          <w:bCs/>
        </w:rPr>
        <w:t xml:space="preserve">YTD the stock is up ~5.5%</w:t>
      </w:r>
      <w:r>
        <w:t xml:space="preserve">, which has</w:t>
      </w:r>
      <w:r>
        <w:t xml:space="preserve"> </w:t>
      </w:r>
      <w:r>
        <w:rPr>
          <w:b/>
          <w:bCs/>
        </w:rPr>
        <w:t xml:space="preserve">lagged regulated-utility peers</w:t>
      </w:r>
      <w:r>
        <w:t xml:space="preserve"> </w:t>
      </w:r>
      <w:r>
        <w:t xml:space="preserve">— Southern (SO) ~+10% and Duke (DUK) ~+10% over the same period — despite arguably the best data-center narrative in the group. That relative underperformance suggests the market may be discounting dilution, rate-case/lag risk, and wildfire overhang.</w:t>
      </w:r>
    </w:p>
    <w:p>
      <w:pPr>
        <w:pStyle w:val="Compact"/>
        <w:numPr>
          <w:ilvl w:val="0"/>
          <w:numId w:val="1007"/>
        </w:numPr>
      </w:pPr>
      <w:r>
        <w:t xml:space="preserve">Shares drifted lower into the print (down from ~$81.7 on July 24), and sell-side sentiment is bullish (majority "Strong Buy").</w:t>
      </w:r>
    </w:p>
    <w:p>
      <w:pPr>
        <w:pStyle w:val="Compact"/>
        <w:numPr>
          <w:ilvl w:val="0"/>
          <w:numId w:val="1007"/>
        </w:numPr>
      </w:pPr>
      <w:r>
        <w:t xml:space="preserve">Housekeeping: XEL added</w:t>
      </w:r>
      <w:r>
        <w:t xml:space="preserve"> </w:t>
      </w:r>
      <w:r>
        <w:rPr>
          <w:b/>
          <w:bCs/>
        </w:rPr>
        <w:t xml:space="preserve">Delta President Peter Carter to its board</w:t>
      </w:r>
      <w:r>
        <w:t xml:space="preserve"> </w:t>
      </w:r>
      <w:r>
        <w:t xml:space="preserve">on July 29.</w:t>
      </w:r>
    </w:p>
    <w:p>
      <w:r>
        <w:pict>
          <v:rect style="width:0;height:1.5pt" o:hralign="center" o:hrstd="t" o:hr="t"/>
        </w:pict>
      </w:r>
    </w:p>
    <w:bookmarkEnd w:id="16"/>
    <w:bookmarkStart w:id="17" w:name="Xc90a35daee4d62906ea661db16be17aa20dfd99"/>
    <w:p>
      <w:pPr>
        <w:pStyle w:val="Heading2"/>
      </w:pPr>
      <w:r>
        <w:t xml:space="preserve">8. Bottom Line — What to Watch Tomorrow</w:t>
      </w:r>
    </w:p>
    <w:p>
      <w:pPr>
        <w:pStyle w:val="Compact"/>
        <w:numPr>
          <w:ilvl w:val="0"/>
          <w:numId w:val="1008"/>
        </w:numPr>
      </w:pPr>
      <w:r>
        <w:rPr>
          <w:b/>
          <w:bCs/>
        </w:rPr>
        <w:t xml:space="preserve">Guidance:</w:t>
      </w:r>
      <w:r>
        <w:t xml:space="preserve"> </w:t>
      </w:r>
      <w:r>
        <w:t xml:space="preserve">A reaffirmation of</w:t>
      </w:r>
      <w:r>
        <w:t xml:space="preserve"> </w:t>
      </w:r>
      <m:oMath>
        <m:r>
          <m:t>4.04</m:t>
        </m:r>
        <m:r>
          <m:rPr>
            <m:sty m:val="p"/>
          </m:rPr>
          <m:t>–</m:t>
        </m:r>
      </m:oMath>
      <w:r>
        <w:t xml:space="preserve">4.16 is essentially expected; anything less would be a shock. A move to the</w:t>
      </w:r>
      <w:r>
        <w:t xml:space="preserve"> </w:t>
      </w:r>
      <w:r>
        <w:rPr>
          <w:i/>
          <w:iCs/>
        </w:rPr>
        <w:t xml:space="preserve">upper half</w:t>
      </w:r>
      <w:r>
        <w:t xml:space="preserve"> </w:t>
      </w:r>
      <w:r>
        <w:t xml:space="preserve">would be the bullish tell.</w:t>
      </w:r>
    </w:p>
    <w:p>
      <w:pPr>
        <w:pStyle w:val="Compact"/>
        <w:numPr>
          <w:ilvl w:val="0"/>
          <w:numId w:val="1008"/>
        </w:numPr>
      </w:pPr>
      <w:r>
        <w:rPr>
          <w:b/>
          <w:bCs/>
        </w:rPr>
        <w:t xml:space="preserve">Colorado electric settlement:</w:t>
      </w:r>
      <w:r>
        <w:t xml:space="preserve"> </w:t>
      </w:r>
      <w:r>
        <w:t xml:space="preserve">any read on whether the non-unanimous deal survives at the CPUC — the key to closing regulatory lag.</w:t>
      </w:r>
    </w:p>
    <w:p>
      <w:pPr>
        <w:pStyle w:val="Compact"/>
        <w:numPr>
          <w:ilvl w:val="0"/>
          <w:numId w:val="1008"/>
        </w:numPr>
      </w:pPr>
      <w:r>
        <w:rPr>
          <w:b/>
          <w:bCs/>
        </w:rPr>
        <w:t xml:space="preserve">Data-center progress:</w:t>
      </w:r>
      <w:r>
        <w:t xml:space="preserve"> </w:t>
      </w:r>
      <w:r>
        <w:t xml:space="preserve">new ESAs or approvals moving toward the 6 GW / year-end-2027 target.</w:t>
      </w:r>
    </w:p>
    <w:p>
      <w:pPr>
        <w:pStyle w:val="Compact"/>
        <w:numPr>
          <w:ilvl w:val="0"/>
          <w:numId w:val="1008"/>
        </w:numPr>
      </w:pPr>
      <w:r>
        <w:rPr>
          <w:b/>
          <w:bCs/>
        </w:rPr>
        <w:t xml:space="preserve">Sales trend:</w:t>
      </w:r>
      <w:r>
        <w:t xml:space="preserve"> </w:t>
      </w:r>
      <w:r>
        <w:t xml:space="preserve">confirmation of the ~3% weather-normalized electric sales trajectory; summer weather vs. Q1's mild-winter drag.</w:t>
      </w:r>
    </w:p>
    <w:p>
      <w:pPr>
        <w:pStyle w:val="Compact"/>
        <w:numPr>
          <w:ilvl w:val="0"/>
          <w:numId w:val="1008"/>
        </w:numPr>
      </w:pPr>
      <w:r>
        <w:rPr>
          <w:b/>
          <w:bCs/>
        </w:rPr>
        <w:t xml:space="preserve">Dilution &amp; credit:</w:t>
      </w:r>
      <w:r>
        <w:t xml:space="preserve"> </w:t>
      </w:r>
      <w:r>
        <w:t xml:space="preserve">pace of equity funding and any defense of the Moody's negative outlook.</w:t>
      </w:r>
    </w:p>
    <w:p>
      <w:pPr>
        <w:pStyle w:val="Compact"/>
        <w:numPr>
          <w:ilvl w:val="0"/>
          <w:numId w:val="1008"/>
        </w:numPr>
      </w:pPr>
      <w:r>
        <w:rPr>
          <w:b/>
          <w:bCs/>
        </w:rPr>
        <w:t xml:space="preserve">Wildfire:</w:t>
      </w:r>
      <w:r>
        <w:t xml:space="preserve"> </w:t>
      </w:r>
      <w:r>
        <w:t xml:space="preserve">Smokehouse Creek accrual vs. the shrinking insurance headroom.</w:t>
      </w:r>
    </w:p>
    <w:p>
      <w:pPr>
        <w:pStyle w:val="FirstParagraph"/>
      </w:pPr>
      <w:r>
        <w:t xml:space="preserve">Given the seasonally small quarter, the</w:t>
      </w:r>
      <w:r>
        <w:t xml:space="preserve"> </w:t>
      </w:r>
      <w:r>
        <w:rPr>
          <w:b/>
          <w:bCs/>
        </w:rPr>
        <w:t xml:space="preserve">narrative on regulation and data-center capex will likely matter more than the EPS number itself.</w:t>
      </w:r>
      <w:r>
        <w:t xml:space="preserve"> </w:t>
      </w:r>
      <w:r>
        <w:t xml:space="preserve">The setup is one of a high-quality, high-growth regulated name that has underperformed peers YTD — leaving room for a positive re-rating if the growth story stays clean and Colorado cooperates.</w:t>
      </w:r>
    </w:p>
    <w:p>
      <w:r>
        <w:pict>
          <v:rect style="width:0;height:1.5pt" o:hralign="center" o:hrstd="t" o:hr="t"/>
        </w:pict>
      </w:r>
    </w:p>
    <w:p>
      <w:pPr>
        <w:pStyle w:val="FirstParagraph"/>
      </w:pPr>
      <w:r>
        <w:rPr>
          <w:i/>
          <w:iCs/>
        </w:rPr>
        <w:t xml:space="preserve">Preview based on XEL's Q1 2026 earnings release and call, the Q2 2025 release, recent 8-K/press disclosures, and public analyst/consensus data. Not investment advice.</w:t>
      </w:r>
    </w:p>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2026-07-29T18:40:28Z</dcterms:created>
  <dcterms:modified xsi:type="dcterms:W3CDTF">2026-07-29T18:40:28Z</dcterms:modified>
</cp:coreProperties>
</file>

<file path=docProps/custom.xml><?xml version="1.0" encoding="utf-8"?>
<Properties xmlns="http://schemas.openxmlformats.org/officeDocument/2006/custom-properties" xmlns:vt="http://schemas.openxmlformats.org/officeDocument/2006/docPropsVTypes"/>
</file>