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9" w:name="xel-earnings-predictions--2026-07-30"/>
    <w:p>
      <w:pPr>
        <w:pStyle w:val="Heading1"/>
      </w:pPr>
      <w:r>
        <w:t xml:space="preserve">XEL Earnings Predictions — 2026-07-30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Ticker</w:t>
            </w:r>
          </w:p>
        </w:tc>
        <w:tc>
          <w:tcPr/>
          <w:p>
            <w:pPr>
              <w:pStyle w:val="Compact"/>
            </w:pPr>
            <w:r>
              <w:t xml:space="preserve">Report or Guide</w:t>
            </w:r>
          </w:p>
        </w:tc>
        <w:tc>
          <w:tcPr/>
          <w:p>
            <w:pPr>
              <w:pStyle w:val="Compact"/>
            </w:pPr>
            <w:r>
              <w:t xml:space="preserve">KPI</w:t>
            </w:r>
          </w:p>
        </w:tc>
        <w:tc>
          <w:tcPr/>
          <w:p>
            <w:pPr>
              <w:pStyle w:val="Compact"/>
            </w:pPr>
            <w:r>
              <w:t xml:space="preserve">Prediction</w:t>
            </w:r>
          </w:p>
        </w:tc>
        <w:tc>
          <w:tcPr/>
          <w:p>
            <w:pPr>
              <w:pStyle w:val="Compact"/>
            </w:pPr>
            <w:r>
              <w:t xml:space="preserve">Answer</w:t>
            </w:r>
          </w:p>
        </w:tc>
        <w:tc>
          <w:tcPr/>
          <w:p>
            <w:pPr>
              <w:pStyle w:val="Compact"/>
            </w:pPr>
            <w:r>
              <w:t xml:space="preserve">Confidence</w:t>
            </w:r>
          </w:p>
        </w:tc>
      </w:tr>
      <w:tr>
        <w:tc>
          <w:tcPr/>
          <w:p>
            <w:pPr>
              <w:pStyle w:val="Compact"/>
            </w:pPr>
            <w:r>
              <w:t xml:space="preserve">XEL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Q2 2026 Ongoing EPS</w:t>
            </w:r>
          </w:p>
        </w:tc>
        <w:tc>
          <w:tcPr/>
          <w:p>
            <w:pPr>
              <w:pStyle w:val="Compact"/>
            </w:pPr>
            <w:r>
              <w:t xml:space="preserve">BEAT</w:t>
            </w:r>
          </w:p>
        </w:tc>
        <w:tc>
          <w:tcPr/>
          <w:p>
            <w:pPr>
              <w:pStyle w:val="Compact"/>
            </w:pPr>
            <w:r>
              <w:t xml:space="preserve">pred ~$0.81 vs. cons $0.79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XEL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Q2 2026 Total Revenue</w:t>
            </w:r>
          </w:p>
        </w:tc>
        <w:tc>
          <w:tcPr/>
          <w:p>
            <w:pPr>
              <w:pStyle w:val="Compact"/>
            </w:pPr>
            <w:r>
              <w:t xml:space="preserve">BEAT</w:t>
            </w:r>
          </w:p>
        </w:tc>
        <w:tc>
          <w:tcPr/>
          <w:p>
            <w:pPr>
              <w:pStyle w:val="Compact"/>
            </w:pPr>
            <w:r>
              <w:t xml:space="preserve">pred ~$3.65B vs. cons $3.59B</w:t>
            </w:r>
          </w:p>
        </w:tc>
        <w:tc>
          <w:tcPr/>
          <w:p>
            <w:pPr>
              <w:pStyle w:val="Compact"/>
            </w:pPr>
            <w:r>
              <w:t xml:space="preserve">LOW</w:t>
            </w:r>
          </w:p>
        </w:tc>
      </w:tr>
      <w:tr>
        <w:tc>
          <w:tcPr/>
          <w:p>
            <w:pPr>
              <w:pStyle w:val="Compact"/>
            </w:pPr>
            <w:r>
              <w:t xml:space="preserve">XEL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Weather-adjusted retail electric sales growth y/y (Q2)</w:t>
            </w:r>
          </w:p>
        </w:tc>
        <w:tc>
          <w:tcPr/>
          <w:p>
            <w:pPr>
              <w:pStyle w:val="Compact"/>
            </w:pPr>
            <w:r>
              <w:t xml:space="preserve">BEAT</w:t>
            </w:r>
          </w:p>
        </w:tc>
        <w:tc>
          <w:tcPr/>
          <w:p>
            <w:pPr>
              <w:pStyle w:val="Compact"/>
            </w:pPr>
            <w:r>
              <w:t xml:space="preserve">pred ~3.2% vs. cons/target ~3.0%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XEL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FY2026 ongoing EPS guidance range</w:t>
            </w:r>
          </w:p>
        </w:tc>
        <w:tc>
          <w:tcPr/>
          <w:p>
            <w:pPr>
              <w:pStyle w:val="Compact"/>
            </w:pPr>
            <w:r>
              <w:t xml:space="preserve">UNCHANGED</w:t>
            </w:r>
          </w:p>
        </w:tc>
        <w:tc>
          <w:tcPr/>
          <w:p>
            <w:pPr>
              <w:pStyle w:val="Compact"/>
            </w:pPr>
            <w:r>
              <w:t xml:space="preserve">guide ~</w:t>
            </w:r>
            <m:oMath>
              <m:r>
                <m:t>4.04</m:t>
              </m:r>
              <m:r>
                <m:rPr>
                  <m:sty m:val="p"/>
                </m:rPr>
                <m:t>−</m:t>
              </m:r>
            </m:oMath>
            <w:r>
              <w:t xml:space="preserve">4.16 ($4.10 midpoint) vs. cons $4.10 (FY2026)</w:t>
            </w:r>
          </w:p>
        </w:tc>
        <w:tc>
          <w:tcPr/>
          <w:p>
            <w:pPr>
              <w:pStyle w:val="Compact"/>
            </w:pPr>
            <w:r>
              <w:t xml:space="preserve">HIGH</w:t>
            </w:r>
          </w:p>
        </w:tc>
      </w:tr>
      <w:tr>
        <w:tc>
          <w:tcPr/>
          <w:p>
            <w:pPr>
              <w:pStyle w:val="Compact"/>
            </w:pPr>
            <w:r>
              <w:t xml:space="preserve">XEL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FY2026 weather-adjusted electric sales growth target</w:t>
            </w:r>
          </w:p>
        </w:tc>
        <w:tc>
          <w:tcPr/>
          <w:p>
            <w:pPr>
              <w:pStyle w:val="Compact"/>
            </w:pPr>
            <w:r>
              <w:t xml:space="preserve">UNCHANGED</w:t>
            </w:r>
          </w:p>
        </w:tc>
        <w:tc>
          <w:tcPr/>
          <w:p>
            <w:pPr>
              <w:pStyle w:val="Compact"/>
            </w:pPr>
            <w:r>
              <w:t xml:space="preserve">guide ~3.0% vs. cons 3.0% (FY2026)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XEL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Minnesota electric ROE (final written order, due ~7/31/26)</w:t>
            </w:r>
          </w:p>
        </w:tc>
        <w:tc>
          <w:tcPr/>
          <w:p>
            <w:pPr>
              <w:pStyle w:val="Compact"/>
            </w:pPr>
            <w:r>
              <w:t xml:space="preserve">BETTER</w:t>
            </w:r>
          </w:p>
        </w:tc>
        <w:tc>
          <w:tcPr/>
          <w:p>
            <w:pPr>
              <w:pStyle w:val="Compact"/>
            </w:pPr>
            <w:r>
              <w:t xml:space="preserve">guide ~9.60% ROE vs. prior authorized 9.25% (multi-year rate plan)</w:t>
            </w:r>
          </w:p>
        </w:tc>
        <w:tc>
          <w:tcPr/>
          <w:p>
            <w:pPr>
              <w:pStyle w:val="Compact"/>
            </w:pPr>
            <w:r>
              <w:t xml:space="preserve">HIGH</w:t>
            </w:r>
          </w:p>
        </w:tc>
      </w:tr>
      <w:tr>
        <w:tc>
          <w:tcPr/>
          <w:p>
            <w:pPr>
              <w:pStyle w:val="Compact"/>
            </w:pPr>
            <w:r>
              <w:t xml:space="preserve">XEL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Incremental data-center capex line-of-sight (of the $10B+ opportunity)</w:t>
            </w:r>
          </w:p>
        </w:tc>
        <w:tc>
          <w:tcPr/>
          <w:p>
            <w:pPr>
              <w:pStyle w:val="Compact"/>
            </w:pPr>
            <w:r>
              <w:t xml:space="preserve">BETTER</w:t>
            </w:r>
          </w:p>
        </w:tc>
        <w:tc>
          <w:tcPr/>
          <w:p>
            <w:pPr>
              <w:pStyle w:val="Compact"/>
            </w:pPr>
            <w:r>
              <w:t xml:space="preserve">guide ~$8B vs. prior disclosed $7B+ (through ~2030 plan)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XEL</w:t>
            </w:r>
          </w:p>
        </w:tc>
        <w:tc>
          <w:tcPr/>
          <w:p>
            <w:pPr>
              <w:pStyle w:val="Compact"/>
            </w:pPr>
            <w:r>
              <w:t xml:space="preserve">Return</w:t>
            </w:r>
          </w:p>
        </w:tc>
        <w:tc>
          <w:tcPr/>
          <w:p>
            <w:pPr>
              <w:pStyle w:val="Compact"/>
            </w:pPr>
            <w:r>
              <w:t xml:space="preserve">Day-1 residual (stock − beta × S&amp;P 500)</w:t>
            </w:r>
          </w:p>
        </w:tc>
        <w:tc>
          <w:tcPr/>
          <w:p>
            <w:pPr>
              <w:pStyle w:val="Compact"/>
            </w:pPr>
            <w:r>
              <w:t xml:space="preserve">+0.4%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XEL</w:t>
            </w:r>
          </w:p>
        </w:tc>
        <w:tc>
          <w:tcPr/>
          <w:p>
            <w:pPr>
              <w:pStyle w:val="Compact"/>
            </w:pPr>
            <w:r>
              <w:t xml:space="preserve">Return</w:t>
            </w:r>
          </w:p>
        </w:tc>
        <w:tc>
          <w:tcPr/>
          <w:p>
            <w:pPr>
              <w:pStyle w:val="Compact"/>
            </w:pPr>
            <w:r>
              <w:t xml:space="preserve">5-day cumulative residual</w:t>
            </w:r>
          </w:p>
        </w:tc>
        <w:tc>
          <w:tcPr/>
          <w:p>
            <w:pPr>
              <w:pStyle w:val="Compact"/>
            </w:pPr>
            <w:r>
              <w:t xml:space="preserve">+0.3% (STABILIZE)</w:t>
            </w:r>
          </w:p>
        </w:tc>
        <w:tc>
          <w:tcPr/>
          <w:p>
            <w:pPr>
              <w:pStyle w:val="Compact"/>
            </w:pPr>
            <w:r>
              <w:t xml:space="preserve">A likely modest beat-and-reaffirm print (EPS/sales growth slightly ahead, FY guidance unchanged) should produce a small positive pop, but most incremental catalysts (MN ROE formalization, CO settlement math, data-center capex line-of-sight) are already known/priced or pushed to Q3/Q4 decisions, so there's no fresh out-period EPS-revision trigger; with the stock already up sharply off its 2025 lows and near multi-month highs pre-print, limited follow-through buying is likely and the move should stabilize near the day-1 level rather than extend or reverse sharply.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</w:tbl>
    <w:bookmarkEnd w:id="9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2026-07-29T18:43:16Z</dcterms:created>
  <dcterms:modified xsi:type="dcterms:W3CDTF">2026-07-29T18:43:16Z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