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7" w:name="X886dd8d64369a2c730c66b87bd0f67a7e63180b"/>
    <w:p>
      <w:pPr>
        <w:pStyle w:val="Heading1"/>
      </w:pPr>
      <w:r>
        <w:t xml:space="preserve">Xcel Energy (XEL) — Q2 2026 Earnings Preview</w:t>
      </w:r>
    </w:p>
    <w:p>
      <w:pPr>
        <w:pStyle w:val="FirstParagraph"/>
      </w:pPr>
      <w:r>
        <w:rPr>
          <w:b/>
          <w:bCs/>
        </w:rPr>
        <w:t xml:space="preserve">Report Date:</w:t>
      </w:r>
      <w:r>
        <w:t xml:space="preserve"> </w:t>
      </w:r>
      <w:r>
        <w:t xml:space="preserve">Thursday, July 30, 2026, before market open | Call: 10:00 AM ET</w:t>
      </w:r>
    </w:p>
    <w:p>
      <w:r>
        <w:pict>
          <v:rect style="width:0;height:1.5pt" o:hralign="center" o:hrstd="t" o:hr="t"/>
        </w:pict>
      </w:r>
    </w:p>
    <w:bookmarkStart w:id="9" w:name="X949bd4f4089bbaccce539b2bd28d75b85935b6a"/>
    <w:p>
      <w:pPr>
        <w:pStyle w:val="Heading2"/>
      </w:pPr>
      <w:r>
        <w:t xml:space="preserve">1. Setup Into the Print</w:t>
      </w:r>
    </w:p>
    <w:p>
      <w:pPr>
        <w:pStyle w:val="FirstParagraph"/>
      </w:pPr>
      <w:r>
        <w:t xml:space="preserve">XEL heads into tomorrow's report trading around</w:t>
      </w:r>
      <w:r>
        <w:t xml:space="preserve"> </w:t>
      </w:r>
      <w:r>
        <w:rPr>
          <w:b/>
          <w:bCs/>
        </w:rPr>
        <w:t xml:space="preserve">$78.82</w:t>
      </w:r>
      <w:r>
        <w:t xml:space="preserve">, near the middle of its 52-week range, after a choppy but resilient run supported by a series of constructive regulatory outcomes over the past three months. The stock has a</w:t>
      </w:r>
      <w:r>
        <w:t xml:space="preserve"> </w:t>
      </w:r>
      <w:r>
        <w:rPr>
          <w:b/>
          <w:bCs/>
        </w:rPr>
        <w:t xml:space="preserve">"Buy" consensus</w:t>
      </w:r>
      <w:r>
        <w:t xml:space="preserve"> </w:t>
      </w:r>
      <w:r>
        <w:t xml:space="preserve">among sell-side analysts, and sentiment has stayed largely positive on the back of the company's data-center pipeline momentum.</w:t>
      </w:r>
    </w:p>
    <w:p>
      <w:pPr>
        <w:pStyle w:val="BodyText"/>
      </w:pPr>
      <w:r>
        <w:rPr>
          <w:b/>
          <w:bCs/>
        </w:rPr>
        <w:t xml:space="preserve">Consensus expectations:</w:t>
      </w:r>
    </w:p>
    <w:p>
      <w:pPr>
        <w:pStyle w:val="Compact"/>
        <w:numPr>
          <w:ilvl w:val="0"/>
          <w:numId w:val="1001"/>
        </w:numPr>
      </w:pPr>
      <w:r>
        <w:rPr>
          <w:b/>
          <w:bCs/>
        </w:rPr>
        <w:t xml:space="preserve">EPS:</w:t>
      </w:r>
      <w:r>
        <w:t xml:space="preserve"> </w:t>
      </w:r>
      <w:r>
        <w:t xml:space="preserve">~$0.79 (range roughly</w:t>
      </w:r>
      <w:r>
        <w:t xml:space="preserve"> </w:t>
      </w:r>
      <m:oMath>
        <m:r>
          <m:t>0.78</m:t>
        </m:r>
        <m:r>
          <m:rPr>
            <m:sty m:val="p"/>
          </m:rPr>
          <m:t>–</m:t>
        </m:r>
      </m:oMath>
      <w:r>
        <w:t xml:space="preserve">0.80), implying ~5.3% y/y growth</w:t>
      </w:r>
    </w:p>
    <w:p>
      <w:pPr>
        <w:pStyle w:val="Compact"/>
        <w:numPr>
          <w:ilvl w:val="0"/>
          <w:numId w:val="1001"/>
        </w:numPr>
      </w:pPr>
      <w:r>
        <w:rPr>
          <w:b/>
          <w:bCs/>
        </w:rPr>
        <w:t xml:space="preserve">Revenue:</w:t>
      </w:r>
      <w:r>
        <w:t xml:space="preserve"> </w:t>
      </w:r>
      <w:r>
        <w:t xml:space="preserve">~</w:t>
      </w:r>
      <m:oMath>
        <m:r>
          <m:t>3.58</m:t>
        </m:r>
        <m:r>
          <m:rPr>
            <m:sty m:val="p"/>
          </m:rPr>
          <m:t>–</m:t>
        </m:r>
      </m:oMath>
      <w:r>
        <w:t xml:space="preserve">3.60 billion, up roughly 9% y/y</w:t>
      </w:r>
    </w:p>
    <w:p>
      <w:pPr>
        <w:pStyle w:val="Compact"/>
        <w:numPr>
          <w:ilvl w:val="0"/>
          <w:numId w:val="1001"/>
        </w:numPr>
      </w:pPr>
      <w:r>
        <w:t xml:space="preserve">Xcel beat/met estimates in the prior quarter — Q1 2026 ongoing EPS of $0.91 matched consensus exactly, and the company has topped estimates in three of the last four quarters</w:t>
      </w:r>
    </w:p>
    <w:p>
      <w:pPr>
        <w:pStyle w:val="FirstParagraph"/>
      </w:pPr>
      <w:r>
        <w:t xml:space="preserve">Full-year 2026 guidance stands at</w:t>
      </w:r>
      <w:r>
        <w:t xml:space="preserve"> </w:t>
      </w:r>
      <m:oMath>
        <m:r>
          <m:t>4.04</m:t>
        </m:r>
        <m:r>
          <m:rPr>
            <m:sty m:val="p"/>
          </m:rPr>
          <m:t>–</m:t>
        </m:r>
      </m:oMath>
      <w:r>
        <w:rPr>
          <w:b/>
          <w:bCs/>
        </w:rPr>
        <w:t xml:space="preserve">4.16 ongoing EPS</w:t>
      </w:r>
      <w:r>
        <w:t xml:space="preserve">, reaffirmed at every regulatory update since Q1, with management targeting</w:t>
      </w:r>
      <w:r>
        <w:t xml:space="preserve"> </w:t>
      </w:r>
      <w:r>
        <w:rPr>
          <w:b/>
          <w:bCs/>
        </w:rPr>
        <w:t xml:space="preserve">6–8%+ long-term EPS growth</w:t>
      </w:r>
      <w:r>
        <w:t xml:space="preserve"> </w:t>
      </w:r>
      <w:r>
        <w:t xml:space="preserve">and an average</w:t>
      </w:r>
      <w:r>
        <w:t xml:space="preserve"> </w:t>
      </w:r>
      <w:r>
        <w:rPr>
          <w:b/>
          <w:bCs/>
        </w:rPr>
        <w:t xml:space="preserve">9% CAGR through 2030</w:t>
      </w:r>
      <w:r>
        <w:t xml:space="preserve">.</w:t>
      </w:r>
    </w:p>
    <w:p>
      <w:r>
        <w:pict>
          <v:rect style="width:0;height:1.5pt" o:hralign="center" o:hrstd="t" o:hr="t"/>
        </w:pict>
      </w:r>
    </w:p>
    <w:bookmarkEnd w:id="9"/>
    <w:bookmarkStart w:id="10" w:name="Xdc257ad3069e9124bc5fc8003e608f2a7b149ba"/>
    <w:p>
      <w:pPr>
        <w:pStyle w:val="Heading2"/>
      </w:pPr>
      <w:r>
        <w:t xml:space="preserve">2. What Happened Last Quarter (Q1 2026 Recap)</w:t>
      </w:r>
    </w:p>
    <w:p>
      <w:pPr>
        <w:pStyle w:val="FirstParagraph"/>
      </w:pPr>
      <w:r>
        <w:t xml:space="preserve">Xcel delivered ongoing Q1 EPS of $0.91 vs. $0.84 a year ago, with higher electric revenues due to rate case outcomes, nonfuel riders and sales growth, partially offset by weather increasing earnings by $0.23 per share and higher AFUDC increasing earnings by $0.10 per share, while higher interest charges and common equity financing decreased earnings by $0.18 per share... and higher depreciation and amortization decreased earnings by $0.05 per share. On a weather-adjusted basis, first quarter electric sales increased by 2.8% driven by continued oil and gas growth in SPS and broader C&amp;I growth across jurisdictions, and the company reiterated it continue[s] to expect full year weather-adjusted electric sales to increase 3%. This sales/demand trajectory (oil &amp; gas load in Texas/New Mexico plus broad-based commercial &amp; industrial growth) is a key data point to watch again in Q2.</w:t>
      </w:r>
    </w:p>
    <w:p>
      <w:r>
        <w:pict>
          <v:rect style="width:0;height:1.5pt" o:hralign="center" o:hrstd="t" o:hr="t"/>
        </w:pict>
      </w:r>
    </w:p>
    <w:bookmarkEnd w:id="10"/>
    <w:bookmarkStart w:id="11" w:name="X4c02b7209d436488fc608e0936c4077289f8260"/>
    <w:p>
      <w:pPr>
        <w:pStyle w:val="Heading2"/>
      </w:pPr>
      <w:r>
        <w:t xml:space="preserve">3. Regulatory Calendar — The Biggest Swing Factor</w:t>
      </w:r>
    </w:p>
    <w:p>
      <w:pPr>
        <w:pStyle w:val="FirstParagraph"/>
      </w:pPr>
      <w:r>
        <w:t xml:space="preserve">XEL is running an unusually busy multi-state rate case slate, and several dockets have moved since Q1:</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Jurisdiction</w:t>
            </w:r>
          </w:p>
        </w:tc>
        <w:tc>
          <w:tcPr/>
          <w:p>
            <w:pPr>
              <w:pStyle w:val="Compact"/>
            </w:pPr>
            <w:r>
              <w:t xml:space="preserve">Status as of Q2</w:t>
            </w:r>
          </w:p>
        </w:tc>
        <w:tc>
          <w:tcPr/>
          <w:p>
            <w:pPr>
              <w:pStyle w:val="Compact"/>
            </w:pPr>
            <w:r>
              <w:t xml:space="preserve">Detail</w:t>
            </w:r>
          </w:p>
        </w:tc>
      </w:tr>
      <w:tr>
        <w:tc>
          <w:tcPr/>
          <w:p>
            <w:pPr>
              <w:pStyle w:val="Compact"/>
            </w:pPr>
            <w:r>
              <w:rPr>
                <w:b/>
                <w:bCs/>
              </w:rPr>
              <w:t xml:space="preserve">North Dakota (electric)</w:t>
            </w:r>
          </w:p>
        </w:tc>
        <w:tc>
          <w:tcPr/>
          <w:p>
            <w:pPr>
              <w:pStyle w:val="Compact"/>
            </w:pPr>
            <w:r>
              <w:t xml:space="preserve">Approved</w:t>
            </w:r>
          </w:p>
        </w:tc>
        <w:tc>
          <w:tcPr/>
          <w:p>
            <w:pPr>
              <w:pStyle w:val="Compact"/>
            </w:pPr>
            <w:r>
              <w:t xml:space="preserve">the commission approved our previously announced settlement authorizing a $27 million revenue increase</w:t>
            </w:r>
          </w:p>
        </w:tc>
      </w:tr>
      <w:tr>
        <w:tc>
          <w:tcPr/>
          <w:p>
            <w:pPr>
              <w:pStyle w:val="Compact"/>
            </w:pPr>
            <w:r>
              <w:rPr>
                <w:b/>
                <w:bCs/>
              </w:rPr>
              <w:t xml:space="preserve">South Dakota (electric)</w:t>
            </w:r>
          </w:p>
        </w:tc>
        <w:tc>
          <w:tcPr/>
          <w:p>
            <w:pPr>
              <w:pStyle w:val="Compact"/>
            </w:pPr>
            <w:r>
              <w:t xml:space="preserve">Settled, pending decision</w:t>
            </w:r>
          </w:p>
        </w:tc>
        <w:tc>
          <w:tcPr/>
          <w:p>
            <w:pPr>
              <w:pStyle w:val="Compact"/>
            </w:pPr>
            <w:r>
              <w:t xml:space="preserve">reached a constructive black box settlement with staff for a net revenue increase of $26 million</w:t>
            </w:r>
          </w:p>
        </w:tc>
      </w:tr>
      <w:tr>
        <w:tc>
          <w:tcPr/>
          <w:p>
            <w:pPr>
              <w:pStyle w:val="Compact"/>
            </w:pPr>
            <w:r>
              <w:rPr>
                <w:b/>
                <w:bCs/>
              </w:rPr>
              <w:t xml:space="preserve">Minnesota (electric)</w:t>
            </w:r>
          </w:p>
        </w:tc>
        <w:tc>
          <w:tcPr/>
          <w:p>
            <w:pPr>
              <w:pStyle w:val="Compact"/>
            </w:pPr>
            <w:r>
              <w:t xml:space="preserve">Verbal order issued</w:t>
            </w:r>
          </w:p>
        </w:tc>
        <w:tc>
          <w:tcPr/>
          <w:p>
            <w:pPr>
              <w:pStyle w:val="Compact"/>
            </w:pPr>
            <w:r>
              <w:t xml:space="preserve">The MPUC's June 18 verbal order set an allowed ROE of 9.60% (up from the prior 9.25%) with a 52.5% equity ratio, continuing existing sales true-up mechanisms — a final written order is expected by July 31, 2026, i.e., right around this earnings report</w:t>
            </w:r>
          </w:p>
        </w:tc>
      </w:tr>
      <w:tr>
        <w:tc>
          <w:tcPr/>
          <w:p>
            <w:pPr>
              <w:pStyle w:val="Compact"/>
            </w:pPr>
            <w:r>
              <w:rPr>
                <w:b/>
                <w:bCs/>
              </w:rPr>
              <w:t xml:space="preserve">Colorado (electric)</w:t>
            </w:r>
          </w:p>
        </w:tc>
        <w:tc>
          <w:tcPr/>
          <w:p>
            <w:pPr>
              <w:pStyle w:val="Compact"/>
            </w:pPr>
            <w:r>
              <w:t xml:space="preserve">Non-unanimous settlement filed</w:t>
            </w:r>
          </w:p>
        </w:tc>
        <w:tc>
          <w:tcPr/>
          <w:p>
            <w:pPr>
              <w:pStyle w:val="Compact"/>
            </w:pPr>
            <w:r>
              <w:t xml:space="preserve">On June 2, PSCo and CPUC staff filed a settlement for a</w:t>
            </w:r>
            <w:r>
              <w:t xml:space="preserve"> </w:t>
            </w:r>
            <w:r>
              <w:rPr>
                <w:b/>
                <w:bCs/>
              </w:rPr>
              <w:t xml:space="preserve">$225 million (6.3%) revenue increase</w:t>
            </w:r>
            <w:r>
              <w:t xml:space="preserve">, a</w:t>
            </w:r>
            <w:r>
              <w:t xml:space="preserve"> </w:t>
            </w:r>
            <w:r>
              <w:rPr>
                <w:b/>
                <w:bCs/>
              </w:rPr>
              <w:t xml:space="preserve">9.3% ROE</w:t>
            </w:r>
            <w:r>
              <w:t xml:space="preserve"> </w:t>
            </w:r>
            <w:r>
              <w:t xml:space="preserve">and</w:t>
            </w:r>
            <w:r>
              <w:t xml:space="preserve"> </w:t>
            </w:r>
            <w:r>
              <w:rPr>
                <w:b/>
                <w:bCs/>
              </w:rPr>
              <w:t xml:space="preserve">54.5% equity ratio</w:t>
            </w:r>
            <w:r>
              <w:t xml:space="preserve"> </w:t>
            </w:r>
            <w:r>
              <w:t xml:space="preserve">— though AARP, the City of Boulder, and the Colorado OCUA oppose it; a CPUC decision is expected in Q3 2026</w:t>
            </w:r>
          </w:p>
        </w:tc>
      </w:tr>
      <w:tr>
        <w:tc>
          <w:tcPr/>
          <w:p>
            <w:pPr>
              <w:pStyle w:val="Compact"/>
            </w:pPr>
            <w:r>
              <w:rPr>
                <w:b/>
                <w:bCs/>
              </w:rPr>
              <w:t xml:space="preserve">Colorado (gas)</w:t>
            </w:r>
          </w:p>
        </w:tc>
        <w:tc>
          <w:tcPr/>
          <w:p>
            <w:pPr>
              <w:pStyle w:val="Compact"/>
            </w:pPr>
            <w:r>
              <w:t xml:space="preserve">Contested</w:t>
            </w:r>
          </w:p>
        </w:tc>
        <w:tc>
          <w:tcPr/>
          <w:p>
            <w:pPr>
              <w:pStyle w:val="Compact"/>
            </w:pPr>
            <w:r>
              <w:t xml:space="preserve">Intervenors (CPUC Staff, UCA) proposed cutting the $190M ask down to roughly $85–86M with ROEs of 8.5%–9.2%; settlement deadline was July 8, hearings ran July 23–31 (i.e., concluding right now), with a CPUC decision expected in Q4 2026</w:t>
            </w:r>
          </w:p>
        </w:tc>
      </w:tr>
      <w:tr>
        <w:tc>
          <w:tcPr/>
          <w:p>
            <w:pPr>
              <w:pStyle w:val="Compact"/>
            </w:pPr>
            <w:r>
              <w:rPr>
                <w:b/>
                <w:bCs/>
              </w:rPr>
              <w:t xml:space="preserve">New Mexico (electric)</w:t>
            </w:r>
          </w:p>
        </w:tc>
        <w:tc>
          <w:tcPr/>
          <w:p>
            <w:pPr>
              <w:pStyle w:val="Compact"/>
            </w:pPr>
            <w:r>
              <w:t xml:space="preserve">In process</w:t>
            </w:r>
          </w:p>
        </w:tc>
        <w:tc>
          <w:tcPr/>
          <w:p>
            <w:pPr>
              <w:pStyle w:val="Compact"/>
            </w:pPr>
            <w:r>
              <w:t xml:space="preserve">Intervenor testimony filed, commission decision expected Q4 2026</w:t>
            </w:r>
          </w:p>
        </w:tc>
      </w:tr>
    </w:tbl>
    <w:p>
      <w:pPr>
        <w:pStyle w:val="BodyText"/>
      </w:pPr>
      <w:r>
        <w:t xml:space="preserve">Given how many of these cases sit in "decision pending" status right now, expect management to spend significant call time on</w:t>
      </w:r>
      <w:r>
        <w:t xml:space="preserve"> </w:t>
      </w:r>
      <w:r>
        <w:rPr>
          <w:b/>
          <w:bCs/>
        </w:rPr>
        <w:t xml:space="preserve">Colorado settlement risk</w:t>
      </w:r>
      <w:r>
        <w:t xml:space="preserve"> </w:t>
      </w:r>
      <w:r>
        <w:t xml:space="preserve">(the non-unanimous nature is a real wildcard) and on</w:t>
      </w:r>
      <w:r>
        <w:t xml:space="preserve"> </w:t>
      </w:r>
      <w:r>
        <w:rPr>
          <w:b/>
          <w:bCs/>
        </w:rPr>
        <w:t xml:space="preserve">regulatory lag</w:t>
      </w:r>
      <w:r>
        <w:t xml:space="preserve"> </w:t>
      </w:r>
      <w:r>
        <w:t xml:space="preserve">— CFO Brian Van Abel noted on the Q1 call that structurally, there's 50-plus basis points of just structural lag that the company is working to close as cases resolve.</w:t>
      </w:r>
    </w:p>
    <w:p>
      <w:r>
        <w:pict>
          <v:rect style="width:0;height:1.5pt" o:hralign="center" o:hrstd="t" o:hr="t"/>
        </w:pict>
      </w:r>
    </w:p>
    <w:bookmarkEnd w:id="11"/>
    <w:bookmarkStart w:id="12" w:name="X841f533e23a367dc762007c382be0b290624eb1"/>
    <w:p>
      <w:pPr>
        <w:pStyle w:val="Heading2"/>
      </w:pPr>
      <w:r>
        <w:t xml:space="preserve">4. The Data Center / Large Load Growth Story</w:t>
      </w:r>
    </w:p>
    <w:p>
      <w:pPr>
        <w:pStyle w:val="FirstParagraph"/>
      </w:pPr>
      <w:r>
        <w:t xml:space="preserve">This has become the dominant long-term narrative for XEL and will likely get as much airtime as the quarterly numbers themselves:</w:t>
      </w:r>
    </w:p>
    <w:p>
      <w:pPr>
        <w:pStyle w:val="Compact"/>
        <w:numPr>
          <w:ilvl w:val="0"/>
          <w:numId w:val="1002"/>
        </w:numPr>
      </w:pPr>
      <w:r>
        <w:t xml:space="preserve">Xcel signed a landmark 15-year agreement with</w:t>
      </w:r>
      <w:r>
        <w:t xml:space="preserve"> </w:t>
      </w:r>
      <w:r>
        <w:rPr>
          <w:b/>
          <w:bCs/>
        </w:rPr>
        <w:t xml:space="preserve">Google</w:t>
      </w:r>
      <w:r>
        <w:t xml:space="preserve"> </w:t>
      </w:r>
      <w:r>
        <w:t xml:space="preserve">for a data center in the Upper Midwest under which Google will cover the entire cost of its service and infrastructure requirements to power its new data center, including 1,900 megawatts of new wind and solar generation and long-duration storage using Form Energy's innovative 100-hour iron-air battery, which management estimates will save customers $1 billion to $1.5 billion over the term of the ESA.</w:t>
      </w:r>
    </w:p>
    <w:p>
      <w:pPr>
        <w:pStyle w:val="Compact"/>
        <w:numPr>
          <w:ilvl w:val="0"/>
          <w:numId w:val="1002"/>
        </w:numPr>
      </w:pPr>
      <w:r>
        <w:t xml:space="preserve">Xcel also finalized a</w:t>
      </w:r>
      <w:r>
        <w:t xml:space="preserve"> </w:t>
      </w:r>
      <w:r>
        <w:rPr>
          <w:b/>
          <w:bCs/>
        </w:rPr>
        <w:t xml:space="preserve">non-exclusive joint development agreement with NextEra Energy</w:t>
      </w:r>
      <w:r>
        <w:t xml:space="preserve"> </w:t>
      </w:r>
      <w:r>
        <w:t xml:space="preserve">to co-develop generation and storage, and is already underway developing solutions for 2 gigawatts of new data center capacity with plans to expand in the near future.</w:t>
      </w:r>
    </w:p>
    <w:p>
      <w:pPr>
        <w:pStyle w:val="Compact"/>
        <w:numPr>
          <w:ilvl w:val="0"/>
          <w:numId w:val="1002"/>
        </w:numPr>
      </w:pPr>
      <w:r>
        <w:t xml:space="preserve">Management reiterated confidence in its forecast to secure 6 gigawatts of data center load by year-end 2027 with in-service dates into the early 2030s, against a backdrop the company described as a greater than 20 gigawatt backlog of interest across its territories.</w:t>
      </w:r>
    </w:p>
    <w:p>
      <w:pPr>
        <w:pStyle w:val="Compact"/>
        <w:numPr>
          <w:ilvl w:val="0"/>
          <w:numId w:val="1002"/>
        </w:numPr>
      </w:pPr>
      <w:r>
        <w:t xml:space="preserve">Incremental capex visibility: management said it now has line of sight to at least $7-plus billion of the</w:t>
      </w:r>
      <w:r>
        <w:t xml:space="preserve"> </w:t>
      </w:r>
      <m:oMath>
        <m:r>
          <m:t>10</m:t>
        </m:r>
        <m:r>
          <m:rPr>
            <m:sty m:val="p"/>
          </m:rPr>
          <m:t>−</m:t>
        </m:r>
        <m:r>
          <m:t>p</m:t>
        </m:r>
        <m:r>
          <m:t>l</m:t>
        </m:r>
        <m:r>
          <m:t>u</m:t>
        </m:r>
        <m:r>
          <m:t>s</m:t>
        </m:r>
        <m:r>
          <m:t>b</m:t>
        </m:r>
        <m:r>
          <m:t>i</m:t>
        </m:r>
        <m:r>
          <m:t>l</m:t>
        </m:r>
        <m:r>
          <m:t>l</m:t>
        </m:r>
        <m:r>
          <m:t>i</m:t>
        </m:r>
        <m:r>
          <m:t>o</m:t>
        </m:r>
        <m:r>
          <m:t>n</m:t>
        </m:r>
        <m:r>
          <m:t>o</m:t>
        </m:r>
        <m:r>
          <m:t>p</m:t>
        </m:r>
        <m:r>
          <m:t>p</m:t>
        </m:r>
        <m:r>
          <m:t>o</m:t>
        </m:r>
        <m:r>
          <m:t>r</m:t>
        </m:r>
        <m:r>
          <m:t>t</m:t>
        </m:r>
        <m:r>
          <m:t>u</m:t>
        </m:r>
        <m:r>
          <m:t>n</m:t>
        </m:r>
        <m:r>
          <m:t>i</m:t>
        </m:r>
        <m:r>
          <m:t>t</m:t>
        </m:r>
        <m:r>
          <m:t>y</m:t>
        </m:r>
        <m:r>
          <m:t>t</m:t>
        </m:r>
        <m:r>
          <m:t>h</m:t>
        </m:r>
        <m:r>
          <m:t>a</m:t>
        </m:r>
        <m:r>
          <m:t>t</m:t>
        </m:r>
        <m:r>
          <m:t>w</m:t>
        </m:r>
        <m:r>
          <m:t>e</m:t>
        </m:r>
        <m:r>
          <m:t>h</m:t>
        </m:r>
        <m:r>
          <m:t>i</m:t>
        </m:r>
        <m:r>
          <m:t>g</m:t>
        </m:r>
        <m:r>
          <m:t>h</m:t>
        </m:r>
        <m:r>
          <m:t>l</m:t>
        </m:r>
        <m:r>
          <m:t>i</m:t>
        </m:r>
        <m:r>
          <m:t>g</m:t>
        </m:r>
        <m:r>
          <m:t>h</m:t>
        </m:r>
        <m:r>
          <m:t>t</m:t>
        </m:r>
        <m:r>
          <m:t>e</m:t>
        </m:r>
        <m:r>
          <m:t>d</m:t>
        </m:r>
        <m:r>
          <m:t>l</m:t>
        </m:r>
        <m:r>
          <m:t>a</m:t>
        </m:r>
        <m:r>
          <m:t>s</m:t>
        </m:r>
        <m:r>
          <m:t>t</m:t>
        </m:r>
        <m:r>
          <m:t>y</m:t>
        </m:r>
        <m:r>
          <m:t>e</m:t>
        </m:r>
        <m:r>
          <m:t>a</m:t>
        </m:r>
        <m:r>
          <m:t>r</m:t>
        </m:r>
        <m:r>
          <m:rPr>
            <m:sty m:val="p"/>
          </m:rPr>
          <m:t>,</m:t>
        </m:r>
        <m:r>
          <m:t>l</m:t>
        </m:r>
        <m:r>
          <m:t>a</m:t>
        </m:r>
        <m:r>
          <m:t>y</m:t>
        </m:r>
        <m:r>
          <m:t>e</m:t>
        </m:r>
        <m:r>
          <m:t>r</m:t>
        </m:r>
        <m:r>
          <m:t>e</m:t>
        </m:r>
        <m:r>
          <m:t>d</m:t>
        </m:r>
        <m:r>
          <m:t>o</m:t>
        </m:r>
        <m:r>
          <m:t>n</m:t>
        </m:r>
        <m:r>
          <m:t>t</m:t>
        </m:r>
        <m:r>
          <m:t>o</m:t>
        </m:r>
        <m:r>
          <m:t>p</m:t>
        </m:r>
        <m:r>
          <m:t>o</m:t>
        </m:r>
        <m:r>
          <m:t>f</m:t>
        </m:r>
        <m:r>
          <m:t>t</m:t>
        </m:r>
        <m:r>
          <m:t>h</m:t>
        </m:r>
        <m:r>
          <m:t>e</m:t>
        </m:r>
        <m:r>
          <m:t>r</m:t>
        </m:r>
        <m:r>
          <m:t>e</m:t>
        </m:r>
        <m:r>
          <m:t>c</m:t>
        </m:r>
        <m:r>
          <m:t>o</m:t>
        </m:r>
        <m:r>
          <m:t>r</m:t>
        </m:r>
        <m:r>
          <m:t>d</m:t>
        </m:r>
        <m:r>
          <m:rPr>
            <m:sty m:val="p"/>
          </m:rPr>
          <m:t>*</m:t>
        </m:r>
        <m:r>
          <m:rPr>
            <m:sty m:val="p"/>
          </m:rPr>
          <m:t>*</m:t>
        </m:r>
      </m:oMath>
      <w:r>
        <w:t xml:space="preserve">14 billion 2026 capital plan** — the single largest in company history.</w:t>
      </w:r>
    </w:p>
    <w:p>
      <w:pPr>
        <w:pStyle w:val="FirstParagraph"/>
      </w:pPr>
      <w:r>
        <w:t xml:space="preserve">Watch for: updates on the Texas/New Mexico large-load tariff filing, progress toward the "4 more gigawatts by 2027" contracting target, and any new hyperscaler names.</w:t>
      </w:r>
    </w:p>
    <w:p>
      <w:r>
        <w:pict>
          <v:rect style="width:0;height:1.5pt" o:hralign="center" o:hrstd="t" o:hr="t"/>
        </w:pict>
      </w:r>
    </w:p>
    <w:bookmarkEnd w:id="12"/>
    <w:bookmarkStart w:id="13" w:name="Xf41e1f3135c78e711d4b907e9ff546cdd055717"/>
    <w:p>
      <w:pPr>
        <w:pStyle w:val="Heading2"/>
      </w:pPr>
      <w:r>
        <w:t xml:space="preserve">5. Balance Sheet &amp; Financing</w:t>
      </w:r>
    </w:p>
    <w:p>
      <w:pPr>
        <w:pStyle w:val="FirstParagraph"/>
      </w:pPr>
      <w:r>
        <w:t xml:space="preserve">Xcel has been aggressive in pre-funding its equity needs, which should reduce a key overhang. In Q1 alone, the company issued forward contracts for over $1 billion of equity from our ATM program plus an $800 million junior subordinated note at the holding company, which received 50% equity credit with the rating agencies — together addressing over half of our $7 billion of equity need in our 5-year base plan just one quarter into the plan. Expect an update on cumulative equity issuance and any commentary defending the credit profile (management referenced the Baa1/Moody's outlook and a long-term target of roughly 17% CFO-to-debt).</w:t>
      </w:r>
    </w:p>
    <w:p>
      <w:r>
        <w:pict>
          <v:rect style="width:0;height:1.5pt" o:hralign="center" o:hrstd="t" o:hr="t"/>
        </w:pict>
      </w:r>
    </w:p>
    <w:bookmarkEnd w:id="13"/>
    <w:bookmarkStart w:id="14" w:name="X45541769f5fffaa894f8a67d193ad680c7864c1"/>
    <w:p>
      <w:pPr>
        <w:pStyle w:val="Heading2"/>
      </w:pPr>
      <w:r>
        <w:t xml:space="preserve">6. Wildfire Litigation — Watch the Numbers</w:t>
      </w:r>
    </w:p>
    <w:p>
      <w:pPr>
        <w:pStyle w:val="FirstParagraph"/>
      </w:pPr>
      <w:r>
        <w:t xml:space="preserve">The</w:t>
      </w:r>
      <w:r>
        <w:t xml:space="preserve"> </w:t>
      </w:r>
      <w:r>
        <w:rPr>
          <w:b/>
          <w:bCs/>
        </w:rPr>
        <w:t xml:space="preserve">Smokehouse Creek Fire</w:t>
      </w:r>
      <w:r>
        <w:t xml:space="preserve"> </w:t>
      </w:r>
      <w:r>
        <w:t xml:space="preserve">(Texas Panhandle, Feb. 2024) claims process continues to be a quarterly disclosure item. As of Q1, Xcel had resolved 231 of the 304 submitted claims... reached settlements with 79 of 107 potential claims presented for mediation... updated the low end of our estimated liability to $460 million... committed $397 million in settlement agreements, against</w:t>
      </w:r>
      <w:r>
        <w:t xml:space="preserve"> </w:t>
      </w:r>
      <m:oMath>
        <m:r>
          <m:t>525</m:t>
        </m:r>
        <m:r>
          <m:t>m</m:t>
        </m:r>
        <m:r>
          <m:t>i</m:t>
        </m:r>
        <m:r>
          <m:t>l</m:t>
        </m:r>
        <m:r>
          <m:t>l</m:t>
        </m:r>
        <m:r>
          <m:t>i</m:t>
        </m:r>
        <m:r>
          <m:t>o</m:t>
        </m:r>
        <m:r>
          <m:t>n</m:t>
        </m:r>
        <m:r>
          <m:t>o</m:t>
        </m:r>
        <m:r>
          <m:t>f</m:t>
        </m:r>
        <m:r>
          <m:t>i</m:t>
        </m:r>
        <m:r>
          <m:t>n</m:t>
        </m:r>
        <m:r>
          <m:t>s</m:t>
        </m:r>
        <m:r>
          <m:t>u</m:t>
        </m:r>
        <m:r>
          <m:t>r</m:t>
        </m:r>
        <m:r>
          <m:t>a</m:t>
        </m:r>
        <m:r>
          <m:t>n</m:t>
        </m:r>
        <m:r>
          <m:t>c</m:t>
        </m:r>
        <m:r>
          <m:t>e</m:t>
        </m:r>
        <m:r>
          <m:t>c</m:t>
        </m:r>
        <m:r>
          <m:t>o</m:t>
        </m:r>
        <m:r>
          <m:t>v</m:t>
        </m:r>
        <m:r>
          <m:t>e</m:t>
        </m:r>
        <m:r>
          <m:t>r</m:t>
        </m:r>
        <m:r>
          <m:t>a</m:t>
        </m:r>
        <m:r>
          <m:t>g</m:t>
        </m:r>
        <m:r>
          <m:t>e</m:t>
        </m:r>
        <m:r>
          <m:rPr>
            <m:sty m:val="p"/>
          </m:rPr>
          <m:t>—</m:t>
        </m:r>
        <m:r>
          <m:t>m</m:t>
        </m:r>
        <m:r>
          <m:t>e</m:t>
        </m:r>
        <m:r>
          <m:t>a</m:t>
        </m:r>
        <m:r>
          <m:t>n</m:t>
        </m:r>
        <m:r>
          <m:t>i</m:t>
        </m:r>
        <m:r>
          <m:t>n</m:t>
        </m:r>
        <m:r>
          <m:t>g</m:t>
        </m:r>
        <m:r>
          <m:t>t</m:t>
        </m:r>
        <m:r>
          <m:t>h</m:t>
        </m:r>
        <m:r>
          <m:t>e</m:t>
        </m:r>
        <m:r>
          <m:t>c</m:t>
        </m:r>
        <m:r>
          <m:t>o</m:t>
        </m:r>
        <m:r>
          <m:t>m</m:t>
        </m:r>
        <m:r>
          <m:t>p</m:t>
        </m:r>
        <m:r>
          <m:t>a</m:t>
        </m:r>
        <m:r>
          <m:t>n</m:t>
        </m:r>
        <m:r>
          <m:t>y</m:t>
        </m:r>
        <m:r>
          <m:t>s</m:t>
        </m:r>
        <m:r>
          <m:t>t</m:t>
        </m:r>
        <m:r>
          <m:t>i</m:t>
        </m:r>
        <m:r>
          <m:t>l</m:t>
        </m:r>
        <m:r>
          <m:t>l</m:t>
        </m:r>
        <m:r>
          <m:t>a</m:t>
        </m:r>
        <m:r>
          <m:t>p</m:t>
        </m:r>
        <m:r>
          <m:t>p</m:t>
        </m:r>
        <m:r>
          <m:t>e</m:t>
        </m:r>
        <m:r>
          <m:t>a</m:t>
        </m:r>
        <m:r>
          <m:t>r</m:t>
        </m:r>
        <m:r>
          <m:t>s</m:t>
        </m:r>
        <m:r>
          <m:t>t</m:t>
        </m:r>
        <m:r>
          <m:t>o</m:t>
        </m:r>
        <m:r>
          <m:t>b</m:t>
        </m:r>
        <m:r>
          <m:t>e</m:t>
        </m:r>
        <m:r>
          <m:t>t</m:t>
        </m:r>
        <m:r>
          <m:t>r</m:t>
        </m:r>
        <m:r>
          <m:t>a</m:t>
        </m:r>
        <m:r>
          <m:t>c</m:t>
        </m:r>
        <m:r>
          <m:t>k</m:t>
        </m:r>
        <m:r>
          <m:t>i</m:t>
        </m:r>
        <m:r>
          <m:t>n</m:t>
        </m:r>
        <m:r>
          <m:t>g</m:t>
        </m:r>
        <m:r>
          <m:t>u</m:t>
        </m:r>
        <m:r>
          <m:t>n</m:t>
        </m:r>
        <m:r>
          <m:t>d</m:t>
        </m:r>
        <m:r>
          <m:t>e</m:t>
        </m:r>
        <m:r>
          <m:t>r</m:t>
        </m:r>
        <m:r>
          <m:t>i</m:t>
        </m:r>
        <m:r>
          <m:t>t</m:t>
        </m:r>
        <m:r>
          <m:t>s</m:t>
        </m:r>
        <m:r>
          <m:t>i</m:t>
        </m:r>
        <m:r>
          <m:t>n</m:t>
        </m:r>
        <m:r>
          <m:t>s</m:t>
        </m:r>
        <m:r>
          <m:t>u</m:t>
        </m:r>
        <m:r>
          <m:t>r</m:t>
        </m:r>
        <m:r>
          <m:t>a</m:t>
        </m:r>
        <m:r>
          <m:t>n</m:t>
        </m:r>
        <m:r>
          <m:t>c</m:t>
        </m:r>
        <m:r>
          <m:t>e</m:t>
        </m:r>
        <m:r>
          <m:t>c</m:t>
        </m:r>
        <m:r>
          <m:t>a</m:t>
        </m:r>
        <m:r>
          <m:t>p</m:t>
        </m:r>
        <m:r>
          <m:rPr>
            <m:sty m:val="p"/>
          </m:rPr>
          <m:t>,</m:t>
        </m:r>
        <m:r>
          <m:t>a</m:t>
        </m:r>
        <m:r>
          <m:t>m</m:t>
        </m:r>
        <m:r>
          <m:t>o</m:t>
        </m:r>
        <m:r>
          <m:t>d</m:t>
        </m:r>
        <m:r>
          <m:t>e</m:t>
        </m:r>
        <m:r>
          <m:t>s</m:t>
        </m:r>
        <m:r>
          <m:t>t</m:t>
        </m:r>
        <m:r>
          <m:t>l</m:t>
        </m:r>
        <m:r>
          <m:t>y</m:t>
        </m:r>
        <m:r>
          <m:t>p</m:t>
        </m:r>
        <m:r>
          <m:t>o</m:t>
        </m:r>
        <m:r>
          <m:t>s</m:t>
        </m:r>
        <m:r>
          <m:t>i</m:t>
        </m:r>
        <m:r>
          <m:t>t</m:t>
        </m:r>
        <m:r>
          <m:t>i</m:t>
        </m:r>
        <m:r>
          <m:t>v</m:t>
        </m:r>
        <m:r>
          <m:t>e</m:t>
        </m:r>
        <m:r>
          <m:t>s</m:t>
        </m:r>
        <m:r>
          <m:t>i</m:t>
        </m:r>
        <m:r>
          <m:t>g</m:t>
        </m:r>
        <m:r>
          <m:t>n</m:t>
        </m:r>
        <m:r>
          <m:t>a</m:t>
        </m:r>
        <m:r>
          <m:t>l</m:t>
        </m:r>
        <m:r>
          <m:rPr>
            <m:sty m:val="p"/>
          </m:rPr>
          <m:t>,</m:t>
        </m:r>
        <m:r>
          <m:t>b</m:t>
        </m:r>
        <m:r>
          <m:t>u</m:t>
        </m:r>
        <m:r>
          <m:t>t</m:t>
        </m:r>
        <m:r>
          <m:t>n</m:t>
        </m:r>
        <m:r>
          <m:t>e</m:t>
        </m:r>
        <m:r>
          <m:t>w</m:t>
        </m:r>
        <m:r>
          <m:t>c</m:t>
        </m:r>
        <m:r>
          <m:t>l</m:t>
        </m:r>
        <m:r>
          <m:t>a</m:t>
        </m:r>
        <m:r>
          <m:t>i</m:t>
        </m:r>
        <m:r>
          <m:t>m</m:t>
        </m:r>
        <m:r>
          <m:t>s</m:t>
        </m:r>
        <m:r>
          <m:t>v</m:t>
        </m:r>
        <m:r>
          <m:t>o</m:t>
        </m:r>
        <m:r>
          <m:t>l</m:t>
        </m:r>
        <m:r>
          <m:t>u</m:t>
        </m:r>
        <m:r>
          <m:t>m</m:t>
        </m:r>
        <m:r>
          <m:t>e</m:t>
        </m:r>
        <m:r>
          <m:rPr>
            <m:sty m:val="p"/>
          </m:rPr>
          <m:t>(</m:t>
        </m:r>
        <m:r>
          <m:t>p</m:t>
        </m:r>
        <m:r>
          <m:t>a</m:t>
        </m:r>
        <m:r>
          <m:t>r</m:t>
        </m:r>
        <m:r>
          <m:t>t</m:t>
        </m:r>
        <m:r>
          <m:t>i</m:t>
        </m:r>
        <m:r>
          <m:t>c</m:t>
        </m:r>
        <m:r>
          <m:t>u</m:t>
        </m:r>
        <m:r>
          <m:t>l</m:t>
        </m:r>
        <m:r>
          <m:t>a</m:t>
        </m:r>
        <m:r>
          <m:t>r</m:t>
        </m:r>
        <m:r>
          <m:t>l</m:t>
        </m:r>
        <m:r>
          <m:t>y</m:t>
        </m:r>
        <m:r>
          <m:t>p</m:t>
        </m:r>
        <m:r>
          <m:t>o</m:t>
        </m:r>
        <m:r>
          <m:t>s</m:t>
        </m:r>
        <m:r>
          <m:t>t</m:t>
        </m:r>
        <m:r>
          <m:rPr>
            <m:sty m:val="p"/>
          </m:rPr>
          <m:t>−</m:t>
        </m:r>
        <m:r>
          <m:t>s</m:t>
        </m:r>
        <m:r>
          <m:t>t</m:t>
        </m:r>
        <m:r>
          <m:t>a</m:t>
        </m:r>
        <m:r>
          <m:t>t</m:t>
        </m:r>
        <m:r>
          <m:t>u</m:t>
        </m:r>
        <m:r>
          <m:t>t</m:t>
        </m:r>
        <m:r>
          <m:t>e</m:t>
        </m:r>
        <m:r>
          <m:rPr>
            <m:sty m:val="p"/>
          </m:rPr>
          <m:t>−</m:t>
        </m:r>
        <m:r>
          <m:t>o</m:t>
        </m:r>
        <m:r>
          <m:t>f</m:t>
        </m:r>
        <m:r>
          <m:rPr>
            <m:sty m:val="p"/>
          </m:rPr>
          <m:t>−</m:t>
        </m:r>
        <m:r>
          <m:t>l</m:t>
        </m:r>
        <m:r>
          <m:t>i</m:t>
        </m:r>
        <m:r>
          <m:t>m</m:t>
        </m:r>
        <m:r>
          <m:t>i</m:t>
        </m:r>
        <m:r>
          <m:t>t</m:t>
        </m:r>
        <m:r>
          <m:t>a</m:t>
        </m:r>
        <m:r>
          <m:t>t</m:t>
        </m:r>
        <m:r>
          <m:t>i</m:t>
        </m:r>
        <m:r>
          <m:t>o</m:t>
        </m:r>
        <m:r>
          <m:t>n</m:t>
        </m:r>
        <m:r>
          <m:t>s</m:t>
        </m:r>
        <m:r>
          <m:t>l</m:t>
        </m:r>
        <m:r>
          <m:t>a</m:t>
        </m:r>
        <m:r>
          <m:t>w</m:t>
        </m:r>
        <m:r>
          <m:t>s</m:t>
        </m:r>
        <m:r>
          <m:t>u</m:t>
        </m:r>
        <m:r>
          <m:t>i</m:t>
        </m:r>
        <m:r>
          <m:t>t</m:t>
        </m:r>
        <m:r>
          <m:t>s</m:t>
        </m:r>
        <m:r>
          <m:rPr>
            <m:sty m:val="p"/>
          </m:rPr>
          <m:t>)</m:t>
        </m:r>
        <m:r>
          <m:t>i</m:t>
        </m:r>
        <m:r>
          <m:t>s</m:t>
        </m:r>
        <m:r>
          <m:t>w</m:t>
        </m:r>
        <m:r>
          <m:t>o</m:t>
        </m:r>
        <m:r>
          <m:t>r</m:t>
        </m:r>
        <m:r>
          <m:t>t</m:t>
        </m:r>
        <m:r>
          <m:t>h</m:t>
        </m:r>
        <m:r>
          <m:t>m</m:t>
        </m:r>
        <m:r>
          <m:t>o</m:t>
        </m:r>
        <m:r>
          <m:t>n</m:t>
        </m:r>
        <m:r>
          <m:t>i</m:t>
        </m:r>
        <m:r>
          <m:t>t</m:t>
        </m:r>
        <m:r>
          <m:t>o</m:t>
        </m:r>
        <m:r>
          <m:t>r</m:t>
        </m:r>
        <m:r>
          <m:t>i</m:t>
        </m:r>
        <m:r>
          <m:t>n</m:t>
        </m:r>
        <m:r>
          <m:t>g</m:t>
        </m:r>
        <m:r>
          <m:rPr>
            <m:sty m:val="p"/>
          </m:rPr>
          <m:t>.</m:t>
        </m:r>
        <m:r>
          <m:t>S</m:t>
        </m:r>
        <m:r>
          <m:t>e</m:t>
        </m:r>
        <m:r>
          <m:t>p</m:t>
        </m:r>
        <m:r>
          <m:t>a</m:t>
        </m:r>
        <m:r>
          <m:t>r</m:t>
        </m:r>
        <m:r>
          <m:t>a</m:t>
        </m:r>
        <m:r>
          <m:t>t</m:t>
        </m:r>
        <m:r>
          <m:t>e</m:t>
        </m:r>
        <m:r>
          <m:t>l</m:t>
        </m:r>
        <m:r>
          <m:t>y</m:t>
        </m:r>
        <m:r>
          <m:rPr>
            <m:sty m:val="p"/>
          </m:rPr>
          <m:t>,</m:t>
        </m:r>
        <m:r>
          <m:t>X</m:t>
        </m:r>
        <m:r>
          <m:t>c</m:t>
        </m:r>
        <m:r>
          <m:t>e</m:t>
        </m:r>
        <m:r>
          <m:t>l</m:t>
        </m:r>
        <m:r>
          <m:t>b</m:t>
        </m:r>
        <m:r>
          <m:t>o</m:t>
        </m:r>
        <m:r>
          <m:t>o</m:t>
        </m:r>
        <m:r>
          <m:t>k</m:t>
        </m:r>
        <m:r>
          <m:t>e</m:t>
        </m:r>
        <m:r>
          <m:t>d</m:t>
        </m:r>
        <m:r>
          <m:t>a</m:t>
        </m:r>
        <m:r>
          <m:rPr>
            <m:sty m:val="p"/>
          </m:rPr>
          <m:t>*</m:t>
        </m:r>
        <m:r>
          <m:rPr>
            <m:sty m:val="p"/>
          </m:rPr>
          <m:t>*</m:t>
        </m:r>
      </m:oMath>
      <w:r>
        <w:t xml:space="preserve">0.03/share** benefit in Q1 from higher estimated insurance recoveries tied to the</w:t>
      </w:r>
      <w:r>
        <w:t xml:space="preserve"> </w:t>
      </w:r>
      <w:r>
        <w:rPr>
          <w:b/>
          <w:bCs/>
        </w:rPr>
        <w:t xml:space="preserve">Marshall Wildfire</w:t>
      </w:r>
      <w:r>
        <w:t xml:space="preserve"> </w:t>
      </w:r>
      <w:r>
        <w:t xml:space="preserve">litigation, and took a</w:t>
      </w:r>
      <w:r>
        <w:t xml:space="preserve"> </w:t>
      </w:r>
      <w:r>
        <w:rPr>
          <w:b/>
          <w:bCs/>
        </w:rPr>
        <w:t xml:space="preserve">$0.04/share</w:t>
      </w:r>
      <w:r>
        <w:t xml:space="preserve"> </w:t>
      </w:r>
      <w:r>
        <w:t xml:space="preserve">charge from an adverse ALJ ruling on</w:t>
      </w:r>
      <w:r>
        <w:t xml:space="preserve"> </w:t>
      </w:r>
      <w:r>
        <w:rPr>
          <w:b/>
          <w:bCs/>
        </w:rPr>
        <w:t xml:space="preserve">Prairie Island</w:t>
      </w:r>
      <w:r>
        <w:t xml:space="preserve"> </w:t>
      </w:r>
      <w:r>
        <w:t xml:space="preserve">replacement power cost disallowance — both were excluded from ongoing EPS but are useful reminders that "one-off" items are a recurring feature of this print.</w:t>
      </w:r>
    </w:p>
    <w:p>
      <w:pPr>
        <w:pStyle w:val="BodyText"/>
      </w:pPr>
      <w:r>
        <w:t xml:space="preserve">Also relevant: Colorado enters peak wildfire season with a</w:t>
      </w:r>
      <w:r>
        <w:t xml:space="preserve"> </w:t>
      </w:r>
      <w:r>
        <w:rPr>
          <w:b/>
          <w:bCs/>
        </w:rPr>
        <w:t xml:space="preserve">low-snowpack, dry winter</w:t>
      </w:r>
      <w:r>
        <w:t xml:space="preserve"> </w:t>
      </w:r>
      <w:r>
        <w:t xml:space="preserve">backdrop, so any updates on operational risk-mitigation spend or early-season incidents would matter.</w:t>
      </w:r>
    </w:p>
    <w:p>
      <w:r>
        <w:pict>
          <v:rect style="width:0;height:1.5pt" o:hralign="center" o:hrstd="t" o:hr="t"/>
        </w:pict>
      </w:r>
    </w:p>
    <w:bookmarkEnd w:id="14"/>
    <w:bookmarkStart w:id="15" w:name="X3752001a44ab2d3205372a6a9bf4a03ac05281d"/>
    <w:p>
      <w:pPr>
        <w:pStyle w:val="Heading2"/>
      </w:pPr>
      <w:r>
        <w:t xml:space="preserve">7. What Could Move the Stock</w:t>
      </w:r>
    </w:p>
    <w:p>
      <w:pPr>
        <w:pStyle w:val="FirstParagraph"/>
      </w:pPr>
      <w:r>
        <w:rPr>
          <w:b/>
          <w:bCs/>
        </w:rPr>
        <w:t xml:space="preserve">Watch for:</w:t>
      </w:r>
    </w:p>
    <w:p>
      <w:pPr>
        <w:pStyle w:val="Compact"/>
        <w:numPr>
          <w:ilvl w:val="0"/>
          <w:numId w:val="1003"/>
        </w:numPr>
      </w:pPr>
      <w:r>
        <w:t xml:space="preserve">Any change to full-year 2026 EPS guidance (</w:t>
      </w:r>
      <m:oMath>
        <m:r>
          <m:t>4.04</m:t>
        </m:r>
        <m:r>
          <m:rPr>
            <m:sty m:val="p"/>
          </m:rPr>
          <m:t>–</m:t>
        </m:r>
      </m:oMath>
      <w:r>
        <w:t xml:space="preserve">4.16) — unlikely to move given multiple reaffirmations, but a raise/tightening would be notable this late in the year</w:t>
      </w:r>
    </w:p>
    <w:p>
      <w:pPr>
        <w:pStyle w:val="Compact"/>
        <w:numPr>
          <w:ilvl w:val="0"/>
          <w:numId w:val="1003"/>
        </w:numPr>
      </w:pPr>
      <w:r>
        <w:t xml:space="preserve">Commentary on the</w:t>
      </w:r>
      <w:r>
        <w:t xml:space="preserve"> </w:t>
      </w:r>
      <w:r>
        <w:rPr>
          <w:b/>
          <w:bCs/>
        </w:rPr>
        <w:t xml:space="preserve">final written MPUC order</w:t>
      </w:r>
      <w:r>
        <w:t xml:space="preserve"> </w:t>
      </w:r>
      <w:r>
        <w:t xml:space="preserve">(due by July 31) confirming the 9.60% ROE/52.5% equity ratio verbal decision</w:t>
      </w:r>
    </w:p>
    <w:p>
      <w:pPr>
        <w:pStyle w:val="Compact"/>
        <w:numPr>
          <w:ilvl w:val="0"/>
          <w:numId w:val="1003"/>
        </w:numPr>
      </w:pPr>
      <w:r>
        <w:t xml:space="preserve">Progress/risk on the</w:t>
      </w:r>
      <w:r>
        <w:t xml:space="preserve"> </w:t>
      </w:r>
      <w:r>
        <w:rPr>
          <w:b/>
          <w:bCs/>
        </w:rPr>
        <w:t xml:space="preserve">non-unanimous Colorado electric settlement</w:t>
      </w:r>
      <w:r>
        <w:t xml:space="preserve"> </w:t>
      </w:r>
      <w:r>
        <w:t xml:space="preserve">— opposition from AARP, Boulder, and the OCUA means this isn't a slam dunk</w:t>
      </w:r>
    </w:p>
    <w:p>
      <w:pPr>
        <w:pStyle w:val="Compact"/>
        <w:numPr>
          <w:ilvl w:val="0"/>
          <w:numId w:val="1003"/>
        </w:numPr>
      </w:pPr>
      <w:r>
        <w:t xml:space="preserve">Updated Smokehouse Creek claim/settlement tallies and whether the low-end liability estimate ($460M) needs to move again</w:t>
      </w:r>
    </w:p>
    <w:p>
      <w:pPr>
        <w:pStyle w:val="Compact"/>
        <w:numPr>
          <w:ilvl w:val="0"/>
          <w:numId w:val="1003"/>
        </w:numPr>
      </w:pPr>
      <w:r>
        <w:t xml:space="preserve">Fresh detail on data-center contracting progress toward the "3 GW this year / 3 GW next year" targets and any new hyperscaler agreements</w:t>
      </w:r>
    </w:p>
    <w:p>
      <w:pPr>
        <w:pStyle w:val="Compact"/>
        <w:numPr>
          <w:ilvl w:val="0"/>
          <w:numId w:val="1003"/>
        </w:numPr>
      </w:pPr>
      <w:r>
        <w:t xml:space="preserve">Weather-adjusted sales growth trends (target: +3% for 2026) — especially oil &amp; gas load growth in the SPS territory</w:t>
      </w:r>
    </w:p>
    <w:p>
      <w:pPr>
        <w:pStyle w:val="Compact"/>
        <w:numPr>
          <w:ilvl w:val="0"/>
          <w:numId w:val="1003"/>
        </w:numPr>
      </w:pPr>
      <w:r>
        <w:t xml:space="preserve">Equity issuance cadence relative to the ~40% incremental-equity funding framework</w:t>
      </w:r>
    </w:p>
    <w:p>
      <w:r>
        <w:pict>
          <v:rect style="width:0;height:1.5pt" o:hralign="center" o:hrstd="t" o:hr="t"/>
        </w:pict>
      </w:r>
    </w:p>
    <w:bookmarkEnd w:id="15"/>
    <w:bookmarkStart w:id="16" w:name="bottom-line"/>
    <w:p>
      <w:pPr>
        <w:pStyle w:val="Heading2"/>
      </w:pPr>
      <w:r>
        <w:t xml:space="preserve">Bottom Line</w:t>
      </w:r>
    </w:p>
    <w:p>
      <w:pPr>
        <w:pStyle w:val="FirstParagraph"/>
      </w:pPr>
      <w:r>
        <w:t xml:space="preserve">Xcel goes into this print as a</w:t>
      </w:r>
      <w:r>
        <w:t xml:space="preserve"> </w:t>
      </w:r>
      <w:r>
        <w:rPr>
          <w:b/>
          <w:bCs/>
        </w:rPr>
        <w:t xml:space="preserve">steady, guidance-reaffirming utility</w:t>
      </w:r>
      <w:r>
        <w:t xml:space="preserve"> </w:t>
      </w:r>
      <w:r>
        <w:t xml:space="preserve">whose real story is less about the quarterly beat/miss and more about (1) whether its unusually dense multi-state rate case calendar continues resolving constructively, (2) the pace at which its data-center/large-load pipeline converts into contracted, rate-base-accretive capex, and (3) whether wildfire liability trends stay contained within insurance coverage. With consensus modestly below the year-ago comparable growth rate analysts want to see, a clean beat-and-reaffirm quarter combined with incremental data-center or Colorado-settlement clarity would likely be well received; any surprise CO settlement setback or wildfire liability creep would be the main downside risks to watch on the call.</w:t>
      </w:r>
    </w:p>
    <w:bookmarkEnd w:id="16"/>
    <w:bookmarkEnd w:id="17"/>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2026-07-29T18:43:16Z</dcterms:created>
  <dcterms:modified xsi:type="dcterms:W3CDTF">2026-07-29T18:43:16Z</dcterms:modified>
</cp:coreProperties>
</file>

<file path=docProps/custom.xml><?xml version="1.0" encoding="utf-8"?>
<Properties xmlns="http://schemas.openxmlformats.org/officeDocument/2006/custom-properties" xmlns:vt="http://schemas.openxmlformats.org/officeDocument/2006/docPropsVTypes"/>
</file>