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el-earnings-predictions--2026-07-30"/>
    <w:p>
      <w:pPr>
        <w:pStyle w:val="Heading1"/>
      </w:pPr>
      <w:r>
        <w:t xml:space="preserve">XEL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ongoing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~$0.80 vs. cons $0.79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operating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~$3.58B vs. cons $3.56B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Q2 2026 weather-normalized retail electric sales growth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~3.2% vs. cons 3.0%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Ongoing diluted EPS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~$4.10 midpoint vs. cons $4.11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Weather-normalized retail electric sales growth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~3.0% vs. cons 3.0%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Capital investment plan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~$14.0B vs. cons $14.0B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Additional secured data-center load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~1.0 GW vs. cons 1.0 GW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+1.1%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+0.5% (FADE)</w:t>
            </w:r>
          </w:p>
        </w:tc>
        <w:tc>
          <w:tcPr/>
          <w:p>
            <w:pPr>
              <w:pStyle w:val="Compact"/>
            </w:pPr>
            <w:r>
              <w:t xml:space="preserve">A modest EPS beat and solid load growth should support an initial positive reaction, but an unchanged ~$4.10 FY2026 guidance midpoint versus $4.11 consensus leaves little room for upward revisions. Without a new signed data-center contract or higher out-period capital/EPS math, the day-1 relief move should partially fade.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2026-07-29T18:42:22Z</dcterms:created>
  <dcterms:modified xsi:type="dcterms:W3CDTF">2026-07-29T18:42:22Z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