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2" w:name="xcel-energy-xel-2026-q2-earnings-preview"/>
    <w:p>
      <w:pPr>
        <w:pStyle w:val="Heading1"/>
      </w:pPr>
      <w:r>
        <w:t xml:space="preserve">Xcel Energy (XEL) 2026 Q2 Earnings Preview</w:t>
      </w:r>
    </w:p>
    <w:p>
      <w:pPr>
        <w:pStyle w:val="FirstParagraph"/>
      </w:pPr>
      <w:r>
        <w:rPr>
          <w:b/>
          <w:bCs/>
        </w:rPr>
        <w:t xml:space="preserve">Report/call:</w:t>
      </w:r>
      <w:r>
        <w:t xml:space="preserve"> </w:t>
      </w:r>
      <w:r>
        <w:t xml:space="preserve">July 30, 2026</w:t>
      </w:r>
      <w:r>
        <w:br/>
      </w:r>
      <w:r>
        <w:rPr>
          <w:b/>
          <w:bCs/>
        </w:rPr>
        <w:t xml:space="preserve">Reference price:</w:t>
      </w:r>
      <w:r>
        <w:t xml:space="preserve"> </w:t>
      </w:r>
      <w:r>
        <w:t xml:space="preserve">$78.82 on July 29</w:t>
      </w:r>
      <w:r>
        <w:br/>
      </w:r>
      <w:r>
        <w:rPr>
          <w:b/>
          <w:bCs/>
        </w:rPr>
        <w:t xml:space="preserve">2026 ongoing EPS guidance:</w:t>
      </w:r>
      <w:r>
        <w:t xml:space="preserve"> </w:t>
      </w:r>
      <m:oMath>
        <m:r>
          <m:t>4.04</m:t>
        </m:r>
        <m:r>
          <m:rPr>
            <m:sty m:val="p"/>
          </m:rPr>
          <m:t>–</m:t>
        </m:r>
      </m:oMath>
      <w:r>
        <w:t xml:space="preserve">4.16</w:t>
      </w:r>
      <w:r>
        <w:br/>
      </w:r>
      <w:r>
        <w:rPr>
          <w:b/>
          <w:bCs/>
        </w:rPr>
        <w:t xml:space="preserve">2026 capital plan:</w:t>
      </w:r>
      <w:r>
        <w:t xml:space="preserve"> </w:t>
      </w:r>
      <w:r>
        <w:t xml:space="preserve">Approximately $14 billion</w:t>
      </w:r>
      <w:r>
        <w:br/>
      </w:r>
      <w:r>
        <w:rPr>
          <w:b/>
          <w:bCs/>
        </w:rPr>
        <w:t xml:space="preserve">2026–2030 base capital plan:</w:t>
      </w:r>
      <w:r>
        <w:t xml:space="preserve"> </w:t>
      </w:r>
      <w:r>
        <w:t xml:space="preserve">$60 billion, plus at least $10 billion of identified potential upside</w:t>
      </w:r>
    </w:p>
    <w:bookmarkStart w:id="9" w:name="investment-view-going-into-the-quarter"/>
    <w:p>
      <w:pPr>
        <w:pStyle w:val="Heading2"/>
      </w:pPr>
      <w:r>
        <w:t xml:space="preserve">Investment view going into the quarter</w:t>
      </w:r>
    </w:p>
    <w:p>
      <w:pPr>
        <w:pStyle w:val="FirstParagraph"/>
      </w:pPr>
      <w:r>
        <w:t xml:space="preserve">Xcel enters the second-quarter report with a largely constructive setup. Several regulatory proceedings have moved toward settlements or favorable decisions since the first-quarter call, while management has already reaffirmed 2026 guidance following the most important Minnesota and New Mexico developments.</w:t>
      </w:r>
    </w:p>
    <w:p>
      <w:pPr>
        <w:pStyle w:val="BodyText"/>
      </w:pPr>
      <w:r>
        <w:t xml:space="preserve">The report is therefore less about a narrow quarterly EPS beat or miss and more about whether management can:</w:t>
      </w:r>
    </w:p>
    <w:p>
      <w:pPr>
        <w:pStyle w:val="Compact"/>
        <w:numPr>
          <w:ilvl w:val="0"/>
          <w:numId w:val="1001"/>
        </w:numPr>
      </w:pPr>
      <w:r>
        <w:t xml:space="preserve">Reinforce confidence in the</w:t>
      </w:r>
      <w:r>
        <w:t xml:space="preserve"> </w:t>
      </w:r>
      <m:oMath>
        <m:r>
          <m:t>4.04</m:t>
        </m:r>
        <m:r>
          <m:rPr>
            <m:sty m:val="p"/>
          </m:rPr>
          <m:t>–</m:t>
        </m:r>
      </m:oMath>
      <w:r>
        <w:t xml:space="preserve">4.16 full-year range.</w:t>
      </w:r>
    </w:p>
    <w:p>
      <w:pPr>
        <w:pStyle w:val="Compact"/>
        <w:numPr>
          <w:ilvl w:val="0"/>
          <w:numId w:val="1001"/>
        </w:numPr>
      </w:pPr>
      <w:r>
        <w:t xml:space="preserve">Demonstrate that sales and infrastructure-recovery growth are outpacing financing and depreciation pressure.</w:t>
      </w:r>
    </w:p>
    <w:p>
      <w:pPr>
        <w:pStyle w:val="Compact"/>
        <w:numPr>
          <w:ilvl w:val="0"/>
          <w:numId w:val="1001"/>
        </w:numPr>
      </w:pPr>
      <w:r>
        <w:t xml:space="preserve">Convert its large data-center pipeline into additional signed contracts.</w:t>
      </w:r>
    </w:p>
    <w:p>
      <w:pPr>
        <w:pStyle w:val="Compact"/>
        <w:numPr>
          <w:ilvl w:val="0"/>
          <w:numId w:val="1001"/>
        </w:numPr>
      </w:pPr>
      <w:r>
        <w:t xml:space="preserve">Add more capital projects to the five-year plan without weakening credit metrics or creating excessive equity dilution.</w:t>
      </w:r>
    </w:p>
    <w:p>
      <w:pPr>
        <w:pStyle w:val="Compact"/>
        <w:numPr>
          <w:ilvl w:val="0"/>
          <w:numId w:val="1001"/>
        </w:numPr>
      </w:pPr>
      <w:r>
        <w:t xml:space="preserve">Keep wildfire liabilities contained.</w:t>
      </w:r>
    </w:p>
    <w:p>
      <w:pPr>
        <w:pStyle w:val="FirstParagraph"/>
      </w:pPr>
      <w:r>
        <w:t xml:space="preserve">At $78.82, XEL trades at approximately</w:t>
      </w:r>
      <w:r>
        <w:t xml:space="preserve"> </w:t>
      </w:r>
      <w:r>
        <w:rPr>
          <w:b/>
          <w:bCs/>
        </w:rPr>
        <w:t xml:space="preserve">19.2 times the midpoint of 2026 guidance</w:t>
      </w:r>
      <w:r>
        <w:t xml:space="preserve">, with an indicated dividend yield near</w:t>
      </w:r>
      <w:r>
        <w:t xml:space="preserve"> </w:t>
      </w:r>
      <w:r>
        <w:rPr>
          <w:b/>
          <w:bCs/>
        </w:rPr>
        <w:t xml:space="preserve">3.0%</w:t>
      </w:r>
      <w:r>
        <w:t xml:space="preserve">. That valuation leaves room for upside if management extends the growth runway, but it also makes execution and financing discipline important.</w:t>
      </w:r>
    </w:p>
    <w:bookmarkEnd w:id="9"/>
    <w:bookmarkStart w:id="10" w:name="key-reference-points"/>
    <w:p>
      <w:pPr>
        <w:pStyle w:val="Heading2"/>
      </w:pPr>
      <w:r>
        <w:t xml:space="preserve">Key reference points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Metric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Latest disclosed figure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Q1 2026 ongoing EPS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$0.91</w:t>
            </w:r>
          </w:p>
        </w:tc>
      </w:tr>
      <w:tr>
        <w:tc>
          <w:tcPr/>
          <w:p>
            <w:pPr>
              <w:pStyle w:val="Compact"/>
            </w:pPr>
            <w:r>
              <w:t xml:space="preserve">Q1 2025 ongoing EPS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$0.84</w:t>
            </w:r>
          </w:p>
        </w:tc>
      </w:tr>
      <w:tr>
        <w:tc>
          <w:tcPr/>
          <w:p>
            <w:pPr>
              <w:pStyle w:val="Compact"/>
            </w:pPr>
            <w:r>
              <w:t xml:space="preserve">Q2 2025 ongoing EPS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$0.75</w:t>
            </w:r>
          </w:p>
        </w:tc>
      </w:tr>
      <w:tr>
        <w:tc>
          <w:tcPr/>
          <w:p>
            <w:pPr>
              <w:pStyle w:val="Compact"/>
            </w:pPr>
            <w:r>
              <w:t xml:space="preserve">FY2026 ongoing EPS guidance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4.04</m:t>
              </m:r>
              <m:r>
                <m:rPr>
                  <m:sty m:val="p"/>
                </m:rPr>
                <m:t>–</m:t>
              </m:r>
            </m:oMath>
            <w:r>
              <w:t xml:space="preserve">4.16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Long-term EPS growth objective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6%–8%+, with approximately 9% average growth expected through 2030</w:t>
            </w:r>
          </w:p>
        </w:tc>
      </w:tr>
      <w:tr>
        <w:tc>
          <w:tcPr/>
          <w:p>
            <w:pPr>
              <w:pStyle w:val="Compact"/>
            </w:pPr>
            <w:r>
              <w:t xml:space="preserve">Expected 2026 weather-normalized electric sales growth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Approximately 3%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2026 capital investment plan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Approximately $14 billion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2026–2030 base capital plan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$60 billion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Incremental capital opportunity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$10+ billion, with $7+ billion identified as of Q1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Data-center target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 GW secured by year-end 2027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Data-center pipeline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More than 20 GW as of Q1</w:t>
            </w:r>
          </w:p>
        </w:tc>
      </w:tr>
    </w:tbl>
    <w:bookmarkEnd w:id="10"/>
    <w:bookmarkStart w:id="13" w:name="what-matters-in-the-reported-numbers"/>
    <w:p>
      <w:pPr>
        <w:pStyle w:val="Heading2"/>
      </w:pPr>
      <w:r>
        <w:t xml:space="preserve">What matters in the reported numbers</w:t>
      </w:r>
    </w:p>
    <w:bookmarkStart w:id="11" w:name="X4b793425453d391ca6185ff9333b7b11b76c5db"/>
    <w:p>
      <w:pPr>
        <w:pStyle w:val="Heading3"/>
      </w:pPr>
      <w:r>
        <w:t xml:space="preserve">1. Guidance is more important than Q2 EPS in isolation</w:t>
      </w:r>
    </w:p>
    <w:p>
      <w:pPr>
        <w:pStyle w:val="FirstParagraph"/>
      </w:pPr>
      <w:r>
        <w:t xml:space="preserve">Xcel earned</w:t>
      </w:r>
      <w:r>
        <w:t xml:space="preserve"> </w:t>
      </w:r>
      <m:oMath>
        <m:r>
          <m:t>0.91</m:t>
        </m:r>
        <m:r>
          <m:t>p</m:t>
        </m:r>
        <m:r>
          <m:t>e</m:t>
        </m:r>
        <m:r>
          <m:t>r</m:t>
        </m:r>
        <m:r>
          <m:t>s</m:t>
        </m:r>
        <m:r>
          <m:t>h</m:t>
        </m:r>
        <m:r>
          <m:t>a</m:t>
        </m:r>
        <m:r>
          <m:t>r</m:t>
        </m:r>
        <m:r>
          <m:t>e</m:t>
        </m:r>
        <m:r>
          <m:t>o</m:t>
        </m:r>
        <m:r>
          <m:t>n</m:t>
        </m:r>
        <m:r>
          <m:t>a</m:t>
        </m:r>
        <m:r>
          <m:t>n</m:t>
        </m:r>
        <m:r>
          <m:t>o</m:t>
        </m:r>
        <m:r>
          <m:t>n</m:t>
        </m:r>
        <m:r>
          <m:t>g</m:t>
        </m:r>
        <m:r>
          <m:t>o</m:t>
        </m:r>
        <m:r>
          <m:t>i</m:t>
        </m:r>
        <m:r>
          <m:t>n</m:t>
        </m:r>
        <m:r>
          <m:t>g</m:t>
        </m:r>
        <m:r>
          <m:t>b</m:t>
        </m:r>
        <m:r>
          <m:t>a</m:t>
        </m:r>
        <m:r>
          <m:t>s</m:t>
        </m:r>
        <m:r>
          <m:t>i</m:t>
        </m:r>
        <m:r>
          <m:t>s</m:t>
        </m:r>
        <m:r>
          <m:t>i</m:t>
        </m:r>
        <m:r>
          <m:t>n</m:t>
        </m:r>
        <m:r>
          <m:t>t</m:t>
        </m:r>
        <m:r>
          <m:t>h</m:t>
        </m:r>
        <m:r>
          <m:t>e</m:t>
        </m:r>
        <m:r>
          <m:t>f</m:t>
        </m:r>
        <m:r>
          <m:t>i</m:t>
        </m:r>
        <m:r>
          <m:t>r</m:t>
        </m:r>
        <m:r>
          <m:t>s</m:t>
        </m:r>
        <m:r>
          <m:t>t</m:t>
        </m:r>
        <m:r>
          <m:t>q</m:t>
        </m:r>
        <m:r>
          <m:t>u</m:t>
        </m:r>
        <m:r>
          <m:t>a</m:t>
        </m:r>
        <m:r>
          <m:t>r</m:t>
        </m:r>
        <m:r>
          <m:t>t</m:t>
        </m:r>
        <m:r>
          <m:t>e</m:t>
        </m:r>
        <m:r>
          <m:t>r</m:t>
        </m:r>
        <m:r>
          <m:t>d</m:t>
        </m:r>
        <m:r>
          <m:t>e</m:t>
        </m:r>
        <m:r>
          <m:t>s</m:t>
        </m:r>
        <m:r>
          <m:t>p</m:t>
        </m:r>
        <m:r>
          <m:t>i</m:t>
        </m:r>
        <m:r>
          <m:t>t</m:t>
        </m:r>
        <m:r>
          <m:t>e</m:t>
        </m:r>
        <m:r>
          <m:t>a</m:t>
        </m:r>
        <m:r>
          <m:t>n</m:t>
        </m:r>
        <m:r>
          <m:t>e</m:t>
        </m:r>
        <m:r>
          <m:t>s</m:t>
        </m:r>
        <m:r>
          <m:t>t</m:t>
        </m:r>
        <m:r>
          <m:t>i</m:t>
        </m:r>
        <m:r>
          <m:t>m</m:t>
        </m:r>
        <m:r>
          <m:t>a</m:t>
        </m:r>
        <m:r>
          <m:t>t</m:t>
        </m:r>
        <m:r>
          <m:t>e</m:t>
        </m:r>
        <m:r>
          <m:t>d</m:t>
        </m:r>
        <m:r>
          <m:rPr>
            <m:sty m:val="p"/>
          </m:rPr>
          <m:t>*</m:t>
        </m:r>
        <m:r>
          <m:rPr>
            <m:sty m:val="p"/>
          </m:rPr>
          <m:t>*</m:t>
        </m:r>
      </m:oMath>
      <w:r>
        <w:t xml:space="preserve">0.09 per-share weather headwind**. The underlying drivers were healthy:</w:t>
      </w:r>
    </w:p>
    <w:p>
      <w:pPr>
        <w:pStyle w:val="Compact"/>
        <w:numPr>
          <w:ilvl w:val="0"/>
          <w:numId w:val="1002"/>
        </w:numPr>
      </w:pPr>
      <w:r>
        <w:t xml:space="preserve">Higher electric revenue added $0.23 per share.</w:t>
      </w:r>
    </w:p>
    <w:p>
      <w:pPr>
        <w:pStyle w:val="Compact"/>
        <w:numPr>
          <w:ilvl w:val="0"/>
          <w:numId w:val="1002"/>
        </w:numPr>
      </w:pPr>
      <w:r>
        <w:t xml:space="preserve">Higher AFUDC added $0.10.</w:t>
      </w:r>
    </w:p>
    <w:p>
      <w:pPr>
        <w:pStyle w:val="Compact"/>
        <w:numPr>
          <w:ilvl w:val="0"/>
          <w:numId w:val="1002"/>
        </w:numPr>
      </w:pPr>
      <w:r>
        <w:t xml:space="preserve">Interest expense and common-equity financing reduced EPS by a combined $0.18.</w:t>
      </w:r>
    </w:p>
    <w:p>
      <w:pPr>
        <w:pStyle w:val="Compact"/>
        <w:numPr>
          <w:ilvl w:val="0"/>
          <w:numId w:val="1002"/>
        </w:numPr>
      </w:pPr>
      <w:r>
        <w:t xml:space="preserve">Depreciation reduced EPS by $0.05.</w:t>
      </w:r>
    </w:p>
    <w:p>
      <w:pPr>
        <w:pStyle w:val="FirstParagraph"/>
      </w:pPr>
      <w:r>
        <w:t xml:space="preserve">That is a useful template for Q2. Investors should look for continued growth from rate recovery, capital riders and electric demand, weighed against a structurally higher financing and depreciation burden.</w:t>
      </w:r>
    </w:p>
    <w:p>
      <w:pPr>
        <w:pStyle w:val="BodyText"/>
      </w:pPr>
      <w:r>
        <w:t xml:space="preserve">Last year's second-quarter EPS was $0.75. If Xcel were simply to repeat that figure, first-half ongoing EPS would be approximately $1.66, or about 40% of the $4.10 guidance midpoint. That would not, by itself, indicate weakness because Xcel's earnings are seasonal and the summer and winter quarters tend to carry more weight.</w:t>
      </w:r>
    </w:p>
    <w:p>
      <w:pPr>
        <w:pStyle w:val="BodyText"/>
      </w:pPr>
      <w:r>
        <w:t xml:space="preserve">The most important questions are whether management:</w:t>
      </w:r>
    </w:p>
    <w:p>
      <w:pPr>
        <w:pStyle w:val="Compact"/>
        <w:numPr>
          <w:ilvl w:val="0"/>
          <w:numId w:val="1003"/>
        </w:numPr>
      </w:pPr>
      <w:r>
        <w:t xml:space="preserve">Reaffirms the full range without adding cautionary language.</w:t>
      </w:r>
    </w:p>
    <w:p>
      <w:pPr>
        <w:pStyle w:val="Compact"/>
        <w:numPr>
          <w:ilvl w:val="0"/>
          <w:numId w:val="1003"/>
        </w:numPr>
      </w:pPr>
      <w:r>
        <w:t xml:space="preserve">Narrows the range or indicates positioning within it.</w:t>
      </w:r>
    </w:p>
    <w:p>
      <w:pPr>
        <w:pStyle w:val="Compact"/>
        <w:numPr>
          <w:ilvl w:val="0"/>
          <w:numId w:val="1003"/>
        </w:numPr>
      </w:pPr>
      <w:r>
        <w:t xml:space="preserve">Maintains the approximately 3% electric-sales assumption.</w:t>
      </w:r>
    </w:p>
    <w:p>
      <w:pPr>
        <w:pStyle w:val="Compact"/>
        <w:numPr>
          <w:ilvl w:val="0"/>
          <w:numId w:val="1003"/>
        </w:numPr>
      </w:pPr>
      <w:r>
        <w:t xml:space="preserve">Changes its expectations for O&amp;M, interest expense, depreciation or AFUDC.</w:t>
      </w:r>
    </w:p>
    <w:p>
      <w:pPr>
        <w:pStyle w:val="FirstParagraph"/>
      </w:pPr>
      <w:r>
        <w:t xml:space="preserve">A clean reaffirmation appears achievable given the company's multiple post-Q1 guidance reaffirmations, but an increase to guidance would require unusually strong operating or weather trends and is not necessary for a positive report.</w:t>
      </w:r>
    </w:p>
    <w:bookmarkEnd w:id="11"/>
    <w:bookmarkStart w:id="12" w:name="Xa9987e542a88f3f858007d2c6380560319b8fe4"/>
    <w:p>
      <w:pPr>
        <w:pStyle w:val="Heading3"/>
      </w:pPr>
      <w:r>
        <w:t xml:space="preserve">2. Watch the quality of EPS</w:t>
      </w:r>
    </w:p>
    <w:p>
      <w:pPr>
        <w:pStyle w:val="FirstParagraph"/>
      </w:pPr>
      <w:r>
        <w:t xml:space="preserve">Xcel's investment program creates both earnings growth and accounting support through AFUDC. In Q1, AFUDC contributed $0.10 of year-over-year EPS growth, offsetting part of the financing burden.</w:t>
      </w:r>
    </w:p>
    <w:p>
      <w:pPr>
        <w:pStyle w:val="BodyText"/>
      </w:pPr>
      <w:r>
        <w:t xml:space="preserve">Investors should distinguish among: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Rate-based revenue growth</w:t>
      </w:r>
      <w:r>
        <w:t xml:space="preserve">, which demonstrates recovery of completed investments.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Sales growth</w:t>
      </w:r>
      <w:r>
        <w:t xml:space="preserve">, especially commercial and industrial demand.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AFUDC</w:t>
      </w:r>
      <w:r>
        <w:t xml:space="preserve">, which reflects projects under construction but does not yet represent customer-billed revenue.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Holding-company financing costs and dilution</w:t>
      </w:r>
      <w:r>
        <w:t xml:space="preserve">, which can absorb a meaningful portion of utility earnings growth.</w:t>
      </w:r>
    </w:p>
    <w:p>
      <w:pPr>
        <w:pStyle w:val="FirstParagraph"/>
      </w:pPr>
      <w:r>
        <w:t xml:space="preserve">The strongest result would show growing rate recovery and sales alongside continued AFUDC—not earnings growth primarily dependent on higher AFUDC.</w:t>
      </w:r>
    </w:p>
    <w:bookmarkEnd w:id="12"/>
    <w:bookmarkEnd w:id="13"/>
    <w:bookmarkStart w:id="19" w:name="X15313b12d65b84554836cb80d0b934a8b05cf7e"/>
    <w:p>
      <w:pPr>
        <w:pStyle w:val="Heading2"/>
      </w:pPr>
      <w:r>
        <w:t xml:space="preserve">Regulatory developments: the near-term picture has improved</w:t>
      </w:r>
    </w:p>
    <w:p>
      <w:pPr>
        <w:pStyle w:val="FirstParagraph"/>
      </w:pPr>
      <w:r>
        <w:t xml:space="preserve">Regulatory execution was one of the principal risks entering 2026. Since Q1, Xcel has made meaningful progress, although the settlements generally came below the original requests.</w:t>
      </w:r>
    </w:p>
    <w:bookmarkStart w:id="14" w:name="minnesota-electric"/>
    <w:p>
      <w:pPr>
        <w:pStyle w:val="Heading3"/>
      </w:pPr>
      <w:r>
        <w:t xml:space="preserve">Minnesota electric</w:t>
      </w:r>
    </w:p>
    <w:p>
      <w:pPr>
        <w:pStyle w:val="FirstParagraph"/>
      </w:pPr>
      <w:r>
        <w:t xml:space="preserve">The Minnesota Public Utilities Commission's June verbal decision authorized:</w:t>
      </w:r>
    </w:p>
    <w:p>
      <w:pPr>
        <w:pStyle w:val="Compact"/>
        <w:numPr>
          <w:ilvl w:val="0"/>
          <w:numId w:val="1005"/>
        </w:numPr>
      </w:pPr>
      <w:r>
        <w:t xml:space="preserve">An estimated</w:t>
      </w:r>
      <w:r>
        <w:t xml:space="preserve"> </w:t>
      </w:r>
      <w:r>
        <w:rPr>
          <w:b/>
          <w:bCs/>
        </w:rPr>
        <w:t xml:space="preserve">$211 million increase over two years</w:t>
      </w:r>
      <w:r>
        <w:t xml:space="preserve">.</w:t>
      </w:r>
    </w:p>
    <w:p>
      <w:pPr>
        <w:pStyle w:val="Compact"/>
        <w:numPr>
          <w:ilvl w:val="0"/>
          <w:numId w:val="1005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9.6% ROE</w:t>
      </w:r>
      <w:r>
        <w:t xml:space="preserve">, up from the existing 9.25%.</w:t>
      </w:r>
    </w:p>
    <w:p>
      <w:pPr>
        <w:pStyle w:val="Compact"/>
        <w:numPr>
          <w:ilvl w:val="0"/>
          <w:numId w:val="1005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52.5% equity ratio</w:t>
      </w:r>
      <w:r>
        <w:t xml:space="preserve">.</w:t>
      </w:r>
    </w:p>
    <w:p>
      <w:pPr>
        <w:pStyle w:val="Compact"/>
        <w:numPr>
          <w:ilvl w:val="0"/>
          <w:numId w:val="1005"/>
        </w:numPr>
      </w:pPr>
      <w:r>
        <w:t xml:space="preserve">Continued sales true-ups and other tracking mechanisms.</w:t>
      </w:r>
    </w:p>
    <w:p>
      <w:pPr>
        <w:pStyle w:val="FirstParagraph"/>
      </w:pPr>
      <w:r>
        <w:t xml:space="preserve">The final written order is expected by July 31. This was a constructive outcome, particularly because the true-up and tracker mechanisms should reduce regulatory lag and earnings volatility.</w:t>
      </w:r>
    </w:p>
    <w:bookmarkEnd w:id="14"/>
    <w:bookmarkStart w:id="15" w:name="minnesota-natural-gas"/>
    <w:p>
      <w:pPr>
        <w:pStyle w:val="Heading3"/>
      </w:pPr>
      <w:r>
        <w:t xml:space="preserve">Minnesota natural gas</w:t>
      </w:r>
    </w:p>
    <w:p>
      <w:pPr>
        <w:pStyle w:val="FirstParagraph"/>
      </w:pPr>
      <w:r>
        <w:t xml:space="preserve">NSP-Minnesota reached a settlement for a</w:t>
      </w:r>
      <w:r>
        <w:t xml:space="preserve"> </w:t>
      </w:r>
      <w:r>
        <w:rPr>
          <w:b/>
          <w:bCs/>
        </w:rPr>
        <w:t xml:space="preserve">$38 million revenue increase</w:t>
      </w:r>
      <w:r>
        <w:t xml:space="preserve">, compared with its updated $62 million request. A final commission decision is expected later in 2026.</w:t>
      </w:r>
    </w:p>
    <w:bookmarkEnd w:id="15"/>
    <w:bookmarkStart w:id="16" w:name="new-mexico-electric"/>
    <w:p>
      <w:pPr>
        <w:pStyle w:val="Heading3"/>
      </w:pPr>
      <w:r>
        <w:t xml:space="preserve">New Mexico electric</w:t>
      </w:r>
    </w:p>
    <w:p>
      <w:pPr>
        <w:pStyle w:val="FirstParagraph"/>
      </w:pPr>
      <w:r>
        <w:t xml:space="preserve">SPS and several parties filed a non-unanimous stipulation providing for:</w:t>
      </w:r>
    </w:p>
    <w:p>
      <w:pPr>
        <w:pStyle w:val="Compact"/>
        <w:numPr>
          <w:ilvl w:val="0"/>
          <w:numId w:val="1006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$90 million base-rate increase</w:t>
      </w:r>
      <w:r>
        <w:t xml:space="preserve">, versus the updated $168 million request.</w:t>
      </w:r>
    </w:p>
    <w:p>
      <w:pPr>
        <w:pStyle w:val="Compact"/>
        <w:numPr>
          <w:ilvl w:val="0"/>
          <w:numId w:val="1006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9.5% ROE</w:t>
      </w:r>
      <w:r>
        <w:t xml:space="preserve">.</w:t>
      </w:r>
    </w:p>
    <w:p>
      <w:pPr>
        <w:pStyle w:val="Compact"/>
        <w:numPr>
          <w:ilvl w:val="0"/>
          <w:numId w:val="1006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54.7% equity ratio</w:t>
      </w:r>
      <w:r>
        <w:t xml:space="preserve">.</w:t>
      </w:r>
    </w:p>
    <w:p>
      <w:pPr>
        <w:pStyle w:val="FirstParagraph"/>
      </w:pPr>
      <w:r>
        <w:t xml:space="preserve">Commission staff opposes parts of the agreement, so the final outcome remains uncertain. Rates are expected to become effective in December if approved.</w:t>
      </w:r>
    </w:p>
    <w:bookmarkEnd w:id="16"/>
    <w:bookmarkStart w:id="17" w:name="colorado-natural-gas"/>
    <w:p>
      <w:pPr>
        <w:pStyle w:val="Heading3"/>
      </w:pPr>
      <w:r>
        <w:t xml:space="preserve">Colorado natural gas</w:t>
      </w:r>
    </w:p>
    <w:p>
      <w:pPr>
        <w:pStyle w:val="FirstParagraph"/>
      </w:pPr>
      <w:r>
        <w:t xml:space="preserve">PSCo reached a broad settlement proposing:</w:t>
      </w:r>
    </w:p>
    <w:p>
      <w:pPr>
        <w:pStyle w:val="Compact"/>
        <w:numPr>
          <w:ilvl w:val="0"/>
          <w:numId w:val="1007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$123 million revenue increase</w:t>
      </w:r>
      <w:r>
        <w:t xml:space="preserve">, versus the original $190 million request.</w:t>
      </w:r>
    </w:p>
    <w:p>
      <w:pPr>
        <w:pStyle w:val="Compact"/>
        <w:numPr>
          <w:ilvl w:val="0"/>
          <w:numId w:val="1007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9.2% ROE</w:t>
      </w:r>
      <w:r>
        <w:t xml:space="preserve">.</w:t>
      </w:r>
    </w:p>
    <w:p>
      <w:pPr>
        <w:pStyle w:val="Compact"/>
        <w:numPr>
          <w:ilvl w:val="0"/>
          <w:numId w:val="1007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54.5% equity ratio</w:t>
      </w:r>
      <w:r>
        <w:t xml:space="preserve">.</w:t>
      </w:r>
    </w:p>
    <w:p>
      <w:pPr>
        <w:pStyle w:val="FirstParagraph"/>
      </w:pPr>
      <w:r>
        <w:t xml:space="preserve">A commission decision is expected in Q4.</w:t>
      </w:r>
    </w:p>
    <w:bookmarkEnd w:id="17"/>
    <w:bookmarkStart w:id="18" w:name="X9febe1ecfccd9a6ea7b6e5c79912192b05b162d"/>
    <w:p>
      <w:pPr>
        <w:pStyle w:val="Heading3"/>
      </w:pPr>
      <w:r>
        <w:t xml:space="preserve">Colorado electric remains an important open item</w:t>
      </w:r>
    </w:p>
    <w:p>
      <w:pPr>
        <w:pStyle w:val="FirstParagraph"/>
      </w:pPr>
      <w:r>
        <w:t xml:space="preserve">The Colorado electric case is arguably the most important unresolved proceeding. PSCo originally requested a $356 million revenue increase, or $526 million including rider roll-ins, based on a 9.8% ROE and 55% equity ratio.</w:t>
      </w:r>
    </w:p>
    <w:p>
      <w:pPr>
        <w:pStyle w:val="BodyText"/>
      </w:pPr>
      <w:r>
        <w:t xml:space="preserve">Management previously expected a third-quarter decision and has emphasized the need to reduce structural regulatory lag in Colorado. Investors should listen for:</w:t>
      </w:r>
    </w:p>
    <w:p>
      <w:pPr>
        <w:pStyle w:val="Compact"/>
        <w:numPr>
          <w:ilvl w:val="0"/>
          <w:numId w:val="1008"/>
        </w:numPr>
      </w:pPr>
      <w:r>
        <w:t xml:space="preserve">Any settlement or procedural update.</w:t>
      </w:r>
    </w:p>
    <w:p>
      <w:pPr>
        <w:pStyle w:val="Compact"/>
        <w:numPr>
          <w:ilvl w:val="0"/>
          <w:numId w:val="1008"/>
        </w:numPr>
      </w:pPr>
      <w:r>
        <w:t xml:space="preserve">The expected authorized equity ratio.</w:t>
      </w:r>
    </w:p>
    <w:p>
      <w:pPr>
        <w:pStyle w:val="Compact"/>
        <w:numPr>
          <w:ilvl w:val="0"/>
          <w:numId w:val="1008"/>
        </w:numPr>
      </w:pPr>
      <w:r>
        <w:t xml:space="preserve">Whether management still believes it can reduce the roughly 50–60 basis points of structural lag previously discussed.</w:t>
      </w:r>
    </w:p>
    <w:p>
      <w:pPr>
        <w:pStyle w:val="Compact"/>
        <w:numPr>
          <w:ilvl w:val="0"/>
          <w:numId w:val="1008"/>
        </w:numPr>
      </w:pPr>
      <w:r>
        <w:t xml:space="preserve">Whether new riders could reduce the need for frequent rate cases.</w:t>
      </w:r>
    </w:p>
    <w:bookmarkEnd w:id="18"/>
    <w:bookmarkEnd w:id="19"/>
    <w:bookmarkStart w:id="20" w:name="Xd86c7a3b25ac35a9c34dac9e2126f5bb6e76daa"/>
    <w:p>
      <w:pPr>
        <w:pStyle w:val="Heading2"/>
      </w:pPr>
      <w:r>
        <w:t xml:space="preserve">Data centers and incremental capital: the likely focus of the call</w:t>
      </w:r>
    </w:p>
    <w:p>
      <w:pPr>
        <w:pStyle w:val="FirstParagraph"/>
      </w:pPr>
      <w:r>
        <w:t xml:space="preserve">Xcel's long-term investment case has increasingly become tied to large-load development.</w:t>
      </w:r>
    </w:p>
    <w:p>
      <w:pPr>
        <w:pStyle w:val="BodyText"/>
      </w:pPr>
      <w:r>
        <w:t xml:space="preserve">The company's Google agreement provides a useful model:</w:t>
      </w:r>
    </w:p>
    <w:p>
      <w:pPr>
        <w:pStyle w:val="Compact"/>
        <w:numPr>
          <w:ilvl w:val="0"/>
          <w:numId w:val="1009"/>
        </w:numPr>
      </w:pPr>
      <w:r>
        <w:t xml:space="preserve">Nearly 1 GW of data-center demand.</w:t>
      </w:r>
    </w:p>
    <w:p>
      <w:pPr>
        <w:pStyle w:val="Compact"/>
        <w:numPr>
          <w:ilvl w:val="0"/>
          <w:numId w:val="1009"/>
        </w:numPr>
      </w:pPr>
      <w:r>
        <w:t xml:space="preserve">A 15-year service agreement.</w:t>
      </w:r>
    </w:p>
    <w:p>
      <w:pPr>
        <w:pStyle w:val="Compact"/>
        <w:numPr>
          <w:ilvl w:val="0"/>
          <w:numId w:val="1009"/>
        </w:numPr>
      </w:pPr>
      <w:r>
        <w:t xml:space="preserve">Approximately 1,900 MW of associated wind, solar and long-duration storage.</w:t>
      </w:r>
    </w:p>
    <w:p>
      <w:pPr>
        <w:pStyle w:val="Compact"/>
        <w:numPr>
          <w:ilvl w:val="0"/>
          <w:numId w:val="1009"/>
        </w:numPr>
      </w:pPr>
      <w:r>
        <w:t xml:space="preserve">Google pays the incremental service and infrastructure costs.</w:t>
      </w:r>
    </w:p>
    <w:p>
      <w:pPr>
        <w:pStyle w:val="Compact"/>
        <w:numPr>
          <w:ilvl w:val="0"/>
          <w:numId w:val="1009"/>
        </w:numPr>
      </w:pPr>
      <w:r>
        <w:t xml:space="preserve">Estimated customer benefits of approximately $1.1 billion.</w:t>
      </w:r>
    </w:p>
    <w:p>
      <w:pPr>
        <w:pStyle w:val="Compact"/>
        <w:numPr>
          <w:ilvl w:val="0"/>
          <w:numId w:val="1009"/>
        </w:numPr>
      </w:pPr>
      <w:r>
        <w:t xml:space="preserve">Credit, minimum-bill and termination protections designed to protect existing customers.</w:t>
      </w:r>
    </w:p>
    <w:p>
      <w:pPr>
        <w:pStyle w:val="FirstParagraph"/>
      </w:pPr>
      <w:r>
        <w:t xml:space="preserve">At Q1, management was targeting</w:t>
      </w:r>
      <w:r>
        <w:t xml:space="preserve"> </w:t>
      </w:r>
      <w:r>
        <w:rPr>
          <w:b/>
          <w:bCs/>
        </w:rPr>
        <w:t xml:space="preserve">6 GW of secured data-center load by the end of 2027</w:t>
      </w:r>
      <w:r>
        <w:t xml:space="preserve">, with more than 20 GW in the broader pipeline. It indicated that another roughly 1 GW could be contracted during 2026, followed by approximately 3 GW in 2027.</w:t>
      </w:r>
    </w:p>
    <w:p>
      <w:pPr>
        <w:pStyle w:val="BodyText"/>
      </w:pPr>
      <w:r>
        <w:t xml:space="preserve">A new signed electric-service agreement would likely be the most important upside catalyst in the report. Investors should look for:</w:t>
      </w:r>
    </w:p>
    <w:p>
      <w:pPr>
        <w:pStyle w:val="Compact"/>
        <w:numPr>
          <w:ilvl w:val="0"/>
          <w:numId w:val="1010"/>
        </w:numPr>
      </w:pPr>
      <w:r>
        <w:t xml:space="preserve">Additional contracts or movement of projects into a high-probability category.</w:t>
      </w:r>
    </w:p>
    <w:p>
      <w:pPr>
        <w:pStyle w:val="Compact"/>
        <w:numPr>
          <w:ilvl w:val="0"/>
          <w:numId w:val="1010"/>
        </w:numPr>
      </w:pPr>
      <w:r>
        <w:t xml:space="preserve">Geographic mix among the Upper Midwest, Colorado and the SPS territory.</w:t>
      </w:r>
    </w:p>
    <w:p>
      <w:pPr>
        <w:pStyle w:val="Compact"/>
        <w:numPr>
          <w:ilvl w:val="0"/>
          <w:numId w:val="1010"/>
        </w:numPr>
      </w:pPr>
      <w:r>
        <w:t xml:space="preserve">Expected in-service dates.</w:t>
      </w:r>
    </w:p>
    <w:p>
      <w:pPr>
        <w:pStyle w:val="Compact"/>
        <w:numPr>
          <w:ilvl w:val="0"/>
          <w:numId w:val="1010"/>
        </w:numPr>
      </w:pPr>
      <w:r>
        <w:t xml:space="preserve">Regulatory progress on the Google contract and related clean-energy resources.</w:t>
      </w:r>
    </w:p>
    <w:p>
      <w:pPr>
        <w:pStyle w:val="Compact"/>
        <w:numPr>
          <w:ilvl w:val="0"/>
          <w:numId w:val="1010"/>
        </w:numPr>
      </w:pPr>
      <w:r>
        <w:t xml:space="preserve">The portion of associated generation expected to be company-owned versus PPAs.</w:t>
      </w:r>
    </w:p>
    <w:p>
      <w:pPr>
        <w:pStyle w:val="Compact"/>
        <w:numPr>
          <w:ilvl w:val="0"/>
          <w:numId w:val="1010"/>
        </w:numPr>
      </w:pPr>
      <w:r>
        <w:t xml:space="preserve">Whether management still estimates roughly</w:t>
      </w:r>
      <w:r>
        <w:t xml:space="preserve"> </w:t>
      </w:r>
      <m:oMath>
        <m:r>
          <m:t>6</m:t>
        </m:r>
        <m:r>
          <m:rPr>
            <m:sty m:val="p"/>
          </m:rPr>
          <m:t>–</m:t>
        </m:r>
      </m:oMath>
      <w:r>
        <w:t xml:space="preserve">8 billion of investment opportunity per GW of data-center load.</w:t>
      </w:r>
    </w:p>
    <w:p>
      <w:pPr>
        <w:pStyle w:val="FirstParagraph"/>
      </w:pPr>
      <w:r>
        <w:t xml:space="preserve">The opportunity is substantial, but so is the execution challenge. Data-center contracts must be paired with generation, transmission, interconnections and financing, often on tight customer timelines.</w:t>
      </w:r>
    </w:p>
    <w:bookmarkEnd w:id="20"/>
    <w:bookmarkStart w:id="21" w:name="capital-execution-and-financing"/>
    <w:p>
      <w:pPr>
        <w:pStyle w:val="Heading2"/>
      </w:pPr>
      <w:r>
        <w:t xml:space="preserve">Capital execution and financing</w:t>
      </w:r>
    </w:p>
    <w:p>
      <w:pPr>
        <w:pStyle w:val="FirstParagraph"/>
      </w:pPr>
      <w:r>
        <w:t xml:space="preserve">Xcel invested more than $3 billion in Q1 and plans approximately $14 billion for all of 2026. It also said it had identified at least $7 billion of the $10-plus billion incremental opportunity above its $60 billion base plan.</w:t>
      </w:r>
    </w:p>
    <w:p>
      <w:pPr>
        <w:pStyle w:val="BodyText"/>
      </w:pPr>
      <w:r>
        <w:t xml:space="preserve">Potential additions include:</w:t>
      </w:r>
    </w:p>
    <w:p>
      <w:pPr>
        <w:pStyle w:val="Compact"/>
        <w:numPr>
          <w:ilvl w:val="0"/>
          <w:numId w:val="1011"/>
        </w:numPr>
      </w:pPr>
      <w:r>
        <w:t xml:space="preserve">Transmission projects in SPP and MISO.</w:t>
      </w:r>
    </w:p>
    <w:p>
      <w:pPr>
        <w:pStyle w:val="Compact"/>
        <w:numPr>
          <w:ilvl w:val="0"/>
          <w:numId w:val="1011"/>
        </w:numPr>
      </w:pPr>
      <w:r>
        <w:t xml:space="preserve">Additional SPS generation.</w:t>
      </w:r>
    </w:p>
    <w:p>
      <w:pPr>
        <w:pStyle w:val="Compact"/>
        <w:numPr>
          <w:ilvl w:val="0"/>
          <w:numId w:val="1011"/>
        </w:numPr>
      </w:pPr>
      <w:r>
        <w:t xml:space="preserve">The Upper Midwest renewable and storage solicitation.</w:t>
      </w:r>
    </w:p>
    <w:p>
      <w:pPr>
        <w:pStyle w:val="Compact"/>
        <w:numPr>
          <w:ilvl w:val="0"/>
          <w:numId w:val="1011"/>
        </w:numPr>
      </w:pPr>
      <w:r>
        <w:t xml:space="preserve">Colorado resource procurement.</w:t>
      </w:r>
    </w:p>
    <w:p>
      <w:pPr>
        <w:pStyle w:val="Compact"/>
        <w:numPr>
          <w:ilvl w:val="0"/>
          <w:numId w:val="1011"/>
        </w:numPr>
      </w:pPr>
      <w:r>
        <w:t xml:space="preserve">Generation and transmission needed for data centers.</w:t>
      </w:r>
    </w:p>
    <w:p>
      <w:pPr>
        <w:pStyle w:val="FirstParagraph"/>
      </w:pPr>
      <w:r>
        <w:t xml:space="preserve">The key issue is whether this capital can be funded accretively.</w:t>
      </w:r>
    </w:p>
    <w:p>
      <w:pPr>
        <w:pStyle w:val="BodyText"/>
      </w:pPr>
      <w:r>
        <w:t xml:space="preserve">At the end of Q1:</w:t>
      </w:r>
    </w:p>
    <w:p>
      <w:pPr>
        <w:pStyle w:val="Compact"/>
        <w:numPr>
          <w:ilvl w:val="0"/>
          <w:numId w:val="1012"/>
        </w:numPr>
      </w:pPr>
      <w:r>
        <w:t xml:space="preserve">Debt represented 61% of total capitalization.</w:t>
      </w:r>
    </w:p>
    <w:p>
      <w:pPr>
        <w:pStyle w:val="Compact"/>
        <w:numPr>
          <w:ilvl w:val="0"/>
          <w:numId w:val="1012"/>
        </w:numPr>
      </w:pPr>
      <w:r>
        <w:t xml:space="preserve">Xcel had approximately $5.3 billion of liquidity.</w:t>
      </w:r>
    </w:p>
    <w:p>
      <w:pPr>
        <w:pStyle w:val="Compact"/>
        <w:numPr>
          <w:ilvl w:val="0"/>
          <w:numId w:val="1012"/>
        </w:numPr>
      </w:pPr>
      <w:r>
        <w:t xml:space="preserve">It had 40.9 million shares under unsettled forward agreements, representing minimum expected proceeds of roughly $3.1 billion.</w:t>
      </w:r>
    </w:p>
    <w:p>
      <w:pPr>
        <w:pStyle w:val="Compact"/>
        <w:numPr>
          <w:ilvl w:val="0"/>
          <w:numId w:val="1012"/>
        </w:numPr>
      </w:pPr>
      <w:r>
        <w:t xml:space="preserve">Management said more than half of the five-year base-plan equity requirement had been addressed.</w:t>
      </w:r>
    </w:p>
    <w:p>
      <w:pPr>
        <w:pStyle w:val="Compact"/>
        <w:numPr>
          <w:ilvl w:val="0"/>
          <w:numId w:val="1012"/>
        </w:numPr>
      </w:pPr>
      <w:r>
        <w:t xml:space="preserve">Xcel subsequently established a new ATM program allowing up to $4.3 billion of common-stock sales.</w:t>
      </w:r>
    </w:p>
    <w:p>
      <w:pPr>
        <w:pStyle w:val="FirstParagraph"/>
      </w:pPr>
      <w:r>
        <w:t xml:space="preserve">Management has used an approximate</w:t>
      </w:r>
      <w:r>
        <w:t xml:space="preserve"> </w:t>
      </w:r>
      <w:r>
        <w:rPr>
          <w:b/>
          <w:bCs/>
        </w:rPr>
        <w:t xml:space="preserve">40% equity funding rule of thumb</w:t>
      </w:r>
      <w:r>
        <w:t xml:space="preserve"> </w:t>
      </w:r>
      <w:r>
        <w:t xml:space="preserve">for incremental capital. Investors should watch for any changes to this assumption, particularly if more data-center projects are signed.</w:t>
      </w:r>
    </w:p>
    <w:p>
      <w:pPr>
        <w:pStyle w:val="BodyText"/>
      </w:pPr>
      <w:r>
        <w:t xml:space="preserve">The call should also address:</w:t>
      </w:r>
    </w:p>
    <w:p>
      <w:pPr>
        <w:pStyle w:val="Compact"/>
        <w:numPr>
          <w:ilvl w:val="0"/>
          <w:numId w:val="1013"/>
        </w:numPr>
      </w:pPr>
      <w:r>
        <w:t xml:space="preserve">Equity issued or settled during Q2.</w:t>
      </w:r>
    </w:p>
    <w:p>
      <w:pPr>
        <w:pStyle w:val="Compact"/>
        <w:numPr>
          <w:ilvl w:val="0"/>
          <w:numId w:val="1013"/>
        </w:numPr>
      </w:pPr>
      <w:r>
        <w:t xml:space="preserve">Updated share-count expectations.</w:t>
      </w:r>
    </w:p>
    <w:p>
      <w:pPr>
        <w:pStyle w:val="Compact"/>
        <w:numPr>
          <w:ilvl w:val="0"/>
          <w:numId w:val="1013"/>
        </w:numPr>
      </w:pPr>
      <w:r>
        <w:t xml:space="preserve">Credit metrics and Moody's negative outlook.</w:t>
      </w:r>
    </w:p>
    <w:p>
      <w:pPr>
        <w:pStyle w:val="Compact"/>
        <w:numPr>
          <w:ilvl w:val="0"/>
          <w:numId w:val="1013"/>
        </w:numPr>
      </w:pPr>
      <w:r>
        <w:t xml:space="preserve">Progress toward the approximately 17% CFO-to-debt metric discussed by management.</w:t>
      </w:r>
    </w:p>
    <w:p>
      <w:pPr>
        <w:pStyle w:val="Compact"/>
        <w:numPr>
          <w:ilvl w:val="0"/>
          <w:numId w:val="1013"/>
        </w:numPr>
      </w:pPr>
      <w:r>
        <w:t xml:space="preserve">Equipment and labor availability for the unusually large construction program.</w:t>
      </w:r>
    </w:p>
    <w:bookmarkEnd w:id="21"/>
    <w:bookmarkStart w:id="24" w:name="X4a13f21daa1aa7acec5ce559ff4a547acbb14a4"/>
    <w:p>
      <w:pPr>
        <w:pStyle w:val="Heading2"/>
      </w:pPr>
      <w:r>
        <w:t xml:space="preserve">Wildfire liability remains the principal tail risk</w:t>
      </w:r>
    </w:p>
    <w:bookmarkStart w:id="22" w:name="smokehouse-creek"/>
    <w:p>
      <w:pPr>
        <w:pStyle w:val="Heading3"/>
      </w:pPr>
      <w:r>
        <w:t xml:space="preserve">Smokehouse Creek</w:t>
      </w:r>
    </w:p>
    <w:p>
      <w:pPr>
        <w:pStyle w:val="FirstParagraph"/>
      </w:pPr>
      <w:r>
        <w:t xml:space="preserve">At Q1, Xcel had:</w:t>
      </w:r>
    </w:p>
    <w:p>
      <w:pPr>
        <w:pStyle w:val="Compact"/>
        <w:numPr>
          <w:ilvl w:val="0"/>
          <w:numId w:val="1014"/>
        </w:numPr>
      </w:pPr>
      <w:r>
        <w:t xml:space="preserve">Recorded an estimated total loss of</w:t>
      </w:r>
      <w:r>
        <w:t xml:space="preserve"> </w:t>
      </w:r>
      <w:r>
        <w:rPr>
          <w:b/>
          <w:bCs/>
        </w:rPr>
        <w:t xml:space="preserve">$460 million</w:t>
      </w:r>
      <w:r>
        <w:t xml:space="preserve">.</w:t>
      </w:r>
    </w:p>
    <w:p>
      <w:pPr>
        <w:pStyle w:val="Compact"/>
        <w:numPr>
          <w:ilvl w:val="0"/>
          <w:numId w:val="1014"/>
        </w:numPr>
      </w:pPr>
      <w:r>
        <w:t xml:space="preserve">Reached approximately</w:t>
      </w:r>
      <w:r>
        <w:t xml:space="preserve"> </w:t>
      </w:r>
      <w:r>
        <w:rPr>
          <w:b/>
          <w:bCs/>
        </w:rPr>
        <w:t xml:space="preserve">$397 million</w:t>
      </w:r>
      <w:r>
        <w:t xml:space="preserve"> </w:t>
      </w:r>
      <w:r>
        <w:t xml:space="preserve">of settlements.</w:t>
      </w:r>
    </w:p>
    <w:p>
      <w:pPr>
        <w:pStyle w:val="Compact"/>
        <w:numPr>
          <w:ilvl w:val="0"/>
          <w:numId w:val="1014"/>
        </w:numPr>
      </w:pPr>
      <w:r>
        <w:t xml:space="preserve">Settled or resolved a large majority of submitted claims.</w:t>
      </w:r>
    </w:p>
    <w:p>
      <w:pPr>
        <w:pStyle w:val="Compact"/>
        <w:numPr>
          <w:ilvl w:val="0"/>
          <w:numId w:val="1014"/>
        </w:numPr>
      </w:pPr>
      <w:r>
        <w:t xml:space="preserve">Incurred approximately $40 million of legal costs.</w:t>
      </w:r>
    </w:p>
    <w:p>
      <w:pPr>
        <w:pStyle w:val="Compact"/>
        <w:numPr>
          <w:ilvl w:val="0"/>
          <w:numId w:val="1014"/>
        </w:numPr>
      </w:pPr>
      <w:r>
        <w:t xml:space="preserve">Approximately $525 million of total insurance coverage for the policy period.</w:t>
      </w:r>
    </w:p>
    <w:p>
      <w:pPr>
        <w:pStyle w:val="FirstParagraph"/>
      </w:pPr>
      <w:r>
        <w:t xml:space="preserve">However, the company continued to characterize $460 million as the</w:t>
      </w:r>
      <w:r>
        <w:t xml:space="preserve"> </w:t>
      </w:r>
      <w:r>
        <w:rPr>
          <w:b/>
          <w:bCs/>
        </w:rPr>
        <w:t xml:space="preserve">low end</w:t>
      </w:r>
      <w:r>
        <w:t xml:space="preserve"> </w:t>
      </w:r>
      <w:r>
        <w:t xml:space="preserve">of the reasonably estimable loss range and could not estimate the upper end. It also indicated that only approximately $90 million of insurance coverage remained after considering settlements and legal costs through March.</w:t>
      </w:r>
    </w:p>
    <w:p>
      <w:pPr>
        <w:pStyle w:val="BodyText"/>
      </w:pPr>
      <w:r>
        <w:t xml:space="preserve">Investors should scrutinize:</w:t>
      </w:r>
    </w:p>
    <w:p>
      <w:pPr>
        <w:pStyle w:val="Compact"/>
        <w:numPr>
          <w:ilvl w:val="0"/>
          <w:numId w:val="1015"/>
        </w:numPr>
      </w:pPr>
      <w:r>
        <w:t xml:space="preserve">Any increase in the accrual.</w:t>
      </w:r>
    </w:p>
    <w:p>
      <w:pPr>
        <w:pStyle w:val="Compact"/>
        <w:numPr>
          <w:ilvl w:val="0"/>
          <w:numId w:val="1015"/>
        </w:numPr>
      </w:pPr>
      <w:r>
        <w:t xml:space="preserve">New governmental, oil-and-gas or other large claims.</w:t>
      </w:r>
    </w:p>
    <w:p>
      <w:pPr>
        <w:pStyle w:val="Compact"/>
        <w:numPr>
          <w:ilvl w:val="0"/>
          <w:numId w:val="1015"/>
        </w:numPr>
      </w:pPr>
      <w:r>
        <w:t xml:space="preserve">Progress resolving the remaining complaints.</w:t>
      </w:r>
    </w:p>
    <w:p>
      <w:pPr>
        <w:pStyle w:val="Compact"/>
        <w:numPr>
          <w:ilvl w:val="0"/>
          <w:numId w:val="1015"/>
        </w:numPr>
      </w:pPr>
      <w:r>
        <w:t xml:space="preserve">Insurance recoveries and timing.</w:t>
      </w:r>
    </w:p>
    <w:p>
      <w:pPr>
        <w:pStyle w:val="Compact"/>
        <w:numPr>
          <w:ilvl w:val="0"/>
          <w:numId w:val="1015"/>
        </w:numPr>
      </w:pPr>
      <w:r>
        <w:t xml:space="preserve">Whether management can now estimate an upper-end exposure.</w:t>
      </w:r>
    </w:p>
    <w:bookmarkEnd w:id="22"/>
    <w:bookmarkStart w:id="23" w:name="marshall-fire"/>
    <w:p>
      <w:pPr>
        <w:pStyle w:val="Heading3"/>
      </w:pPr>
      <w:r>
        <w:t xml:space="preserve">Marshall Fire</w:t>
      </w:r>
    </w:p>
    <w:p>
      <w:pPr>
        <w:pStyle w:val="FirstParagraph"/>
      </w:pPr>
      <w:r>
        <w:t xml:space="preserve">The Marshall litigation is substantially resolved, with only a small number of individual claims remaining at Q1. This should be less material than Smokehouse Creek, although insurance-recovery adjustments can create differences between GAAP and ongoing EPS.</w:t>
      </w:r>
    </w:p>
    <w:bookmarkEnd w:id="23"/>
    <w:bookmarkEnd w:id="24"/>
    <w:bookmarkStart w:id="25" w:name="sales-and-operating-trends"/>
    <w:p>
      <w:pPr>
        <w:pStyle w:val="Heading2"/>
      </w:pPr>
      <w:r>
        <w:t xml:space="preserve">Sales and operating trends</w:t>
      </w:r>
    </w:p>
    <w:p>
      <w:pPr>
        <w:pStyle w:val="FirstParagraph"/>
      </w:pPr>
      <w:r>
        <w:t xml:space="preserve">First-quarter weather-normalized electric sales rose 2.8%, close to the approximately 3% full-year assumption. The strongest jurisdiction was SPS, where weather-normalized sales increased 8.1%, including 10.8% commercial and industrial growth.</w:t>
      </w:r>
    </w:p>
    <w:p>
      <w:pPr>
        <w:pStyle w:val="BodyText"/>
      </w:pPr>
      <w:r>
        <w:t xml:space="preserve">For Q2, focus on:</w:t>
      </w:r>
    </w:p>
    <w:p>
      <w:pPr>
        <w:pStyle w:val="Compact"/>
        <w:numPr>
          <w:ilvl w:val="0"/>
          <w:numId w:val="1016"/>
        </w:numPr>
      </w:pPr>
      <w:r>
        <w:t xml:space="preserve">Continued SPS oil-and-gas and industrial demand.</w:t>
      </w:r>
    </w:p>
    <w:p>
      <w:pPr>
        <w:pStyle w:val="Compact"/>
        <w:numPr>
          <w:ilvl w:val="0"/>
          <w:numId w:val="1016"/>
        </w:numPr>
      </w:pPr>
      <w:r>
        <w:t xml:space="preserve">Commercial and industrial growth in Minnesota and Colorado.</w:t>
      </w:r>
    </w:p>
    <w:p>
      <w:pPr>
        <w:pStyle w:val="Compact"/>
        <w:numPr>
          <w:ilvl w:val="0"/>
          <w:numId w:val="1016"/>
        </w:numPr>
      </w:pPr>
      <w:r>
        <w:t xml:space="preserve">Whether residential use remains soft.</w:t>
      </w:r>
    </w:p>
    <w:p>
      <w:pPr>
        <w:pStyle w:val="Compact"/>
        <w:numPr>
          <w:ilvl w:val="0"/>
          <w:numId w:val="1016"/>
        </w:numPr>
      </w:pPr>
      <w:r>
        <w:t xml:space="preserve">Actual versus weather-normalized sales.</w:t>
      </w:r>
    </w:p>
    <w:p>
      <w:pPr>
        <w:pStyle w:val="Compact"/>
        <w:numPr>
          <w:ilvl w:val="0"/>
          <w:numId w:val="1016"/>
        </w:numPr>
      </w:pPr>
      <w:r>
        <w:t xml:space="preserve">Any early contribution from large loads already under construction.</w:t>
      </w:r>
    </w:p>
    <w:p>
      <w:pPr>
        <w:pStyle w:val="Compact"/>
        <w:numPr>
          <w:ilvl w:val="0"/>
          <w:numId w:val="1016"/>
        </w:numPr>
      </w:pPr>
      <w:r>
        <w:t xml:space="preserve">Updated full-year sales assumptions.</w:t>
      </w:r>
    </w:p>
    <w:p>
      <w:pPr>
        <w:pStyle w:val="FirstParagraph"/>
      </w:pPr>
      <w:r>
        <w:t xml:space="preserve">Strong load growth is particularly valuable because it can improve fixed-cost absorption, reduce the frequency of rate cases and help close earned-return gaps.</w:t>
      </w:r>
    </w:p>
    <w:bookmarkEnd w:id="25"/>
    <w:bookmarkStart w:id="29" w:name="potential-outcomes"/>
    <w:p>
      <w:pPr>
        <w:pStyle w:val="Heading2"/>
      </w:pPr>
      <w:r>
        <w:t xml:space="preserve">Potential outcomes</w:t>
      </w:r>
    </w:p>
    <w:bookmarkStart w:id="26" w:name="bull-case"/>
    <w:p>
      <w:pPr>
        <w:pStyle w:val="Heading3"/>
      </w:pPr>
      <w:r>
        <w:t xml:space="preserve">Bull case</w:t>
      </w:r>
    </w:p>
    <w:p>
      <w:pPr>
        <w:pStyle w:val="Compact"/>
        <w:numPr>
          <w:ilvl w:val="0"/>
          <w:numId w:val="1017"/>
        </w:numPr>
      </w:pPr>
      <w:r>
        <w:t xml:space="preserve">EPS is solid and management reinforces or narrows guidance toward the upper half.</w:t>
      </w:r>
    </w:p>
    <w:p>
      <w:pPr>
        <w:pStyle w:val="Compact"/>
        <w:numPr>
          <w:ilvl w:val="0"/>
          <w:numId w:val="1017"/>
        </w:numPr>
      </w:pPr>
      <w:r>
        <w:t xml:space="preserve">Weather-normalized sales remain at or above 3%.</w:t>
      </w:r>
    </w:p>
    <w:p>
      <w:pPr>
        <w:pStyle w:val="Compact"/>
        <w:numPr>
          <w:ilvl w:val="0"/>
          <w:numId w:val="1017"/>
        </w:numPr>
      </w:pPr>
      <w:r>
        <w:t xml:space="preserve">No meaningful increase in wildfire exposure.</w:t>
      </w:r>
    </w:p>
    <w:p>
      <w:pPr>
        <w:pStyle w:val="Compact"/>
        <w:numPr>
          <w:ilvl w:val="0"/>
          <w:numId w:val="1017"/>
        </w:numPr>
      </w:pPr>
      <w:r>
        <w:t xml:space="preserve">A new data-center agreement is announced or described as imminent.</w:t>
      </w:r>
    </w:p>
    <w:p>
      <w:pPr>
        <w:pStyle w:val="Compact"/>
        <w:numPr>
          <w:ilvl w:val="0"/>
          <w:numId w:val="1017"/>
        </w:numPr>
      </w:pPr>
      <w:r>
        <w:t xml:space="preserve">Additional capital projects move into the base plan.</w:t>
      </w:r>
    </w:p>
    <w:p>
      <w:pPr>
        <w:pStyle w:val="Compact"/>
        <w:numPr>
          <w:ilvl w:val="0"/>
          <w:numId w:val="1017"/>
        </w:numPr>
      </w:pPr>
      <w:r>
        <w:t xml:space="preserve">Management shows that financing needs remain manageable despite the larger program.</w:t>
      </w:r>
    </w:p>
    <w:bookmarkEnd w:id="26"/>
    <w:bookmarkStart w:id="27" w:name="base-case"/>
    <w:p>
      <w:pPr>
        <w:pStyle w:val="Heading3"/>
      </w:pPr>
      <w:r>
        <w:t xml:space="preserve">Base case</w:t>
      </w:r>
    </w:p>
    <w:p>
      <w:pPr>
        <w:pStyle w:val="Compact"/>
        <w:numPr>
          <w:ilvl w:val="0"/>
          <w:numId w:val="1018"/>
        </w:numPr>
      </w:pPr>
      <w:r>
        <w:t xml:space="preserve">Guidance is reaffirmed.</w:t>
      </w:r>
    </w:p>
    <w:p>
      <w:pPr>
        <w:pStyle w:val="Compact"/>
        <w:numPr>
          <w:ilvl w:val="0"/>
          <w:numId w:val="1018"/>
        </w:numPr>
      </w:pPr>
      <w:r>
        <w:t xml:space="preserve">Quarterly earnings reflect normal revenue growth offset by depreciation, interest and dilution.</w:t>
      </w:r>
    </w:p>
    <w:p>
      <w:pPr>
        <w:pStyle w:val="Compact"/>
        <w:numPr>
          <w:ilvl w:val="0"/>
          <w:numId w:val="1018"/>
        </w:numPr>
      </w:pPr>
      <w:r>
        <w:t xml:space="preserve">Regulatory updates remain constructive but largely reflect already disclosed settlements.</w:t>
      </w:r>
    </w:p>
    <w:p>
      <w:pPr>
        <w:pStyle w:val="Compact"/>
        <w:numPr>
          <w:ilvl w:val="0"/>
          <w:numId w:val="1018"/>
        </w:numPr>
      </w:pPr>
      <w:r>
        <w:t xml:space="preserve">Management reiterates the 6 GW data-center target without announcing another contract.</w:t>
      </w:r>
    </w:p>
    <w:p>
      <w:pPr>
        <w:pStyle w:val="Compact"/>
        <w:numPr>
          <w:ilvl w:val="0"/>
          <w:numId w:val="1018"/>
        </w:numPr>
      </w:pPr>
      <w:r>
        <w:t xml:space="preserve">Wildfire accruals are stable.</w:t>
      </w:r>
    </w:p>
    <w:p>
      <w:pPr>
        <w:pStyle w:val="FirstParagraph"/>
      </w:pPr>
      <w:r>
        <w:t xml:space="preserve">This would support the long-term thesis but may produce a limited immediate share-price reaction.</w:t>
      </w:r>
    </w:p>
    <w:bookmarkEnd w:id="27"/>
    <w:bookmarkStart w:id="28" w:name="bear-case"/>
    <w:p>
      <w:pPr>
        <w:pStyle w:val="Heading3"/>
      </w:pPr>
      <w:r>
        <w:t xml:space="preserve">Bear case</w:t>
      </w:r>
    </w:p>
    <w:p>
      <w:pPr>
        <w:pStyle w:val="Compact"/>
        <w:numPr>
          <w:ilvl w:val="0"/>
          <w:numId w:val="1019"/>
        </w:numPr>
      </w:pPr>
      <w:r>
        <w:t xml:space="preserve">Guidance is reaffirmed only with increased dependence on favorable weather or cost control.</w:t>
      </w:r>
    </w:p>
    <w:p>
      <w:pPr>
        <w:pStyle w:val="Compact"/>
        <w:numPr>
          <w:ilvl w:val="0"/>
          <w:numId w:val="1019"/>
        </w:numPr>
      </w:pPr>
      <w:r>
        <w:t xml:space="preserve">Sales growth falls below the approximately 3% assumption.</w:t>
      </w:r>
    </w:p>
    <w:p>
      <w:pPr>
        <w:pStyle w:val="Compact"/>
        <w:numPr>
          <w:ilvl w:val="0"/>
          <w:numId w:val="1019"/>
        </w:numPr>
      </w:pPr>
      <w:r>
        <w:t xml:space="preserve">Financing costs or share issuance rise faster than expected.</w:t>
      </w:r>
    </w:p>
    <w:p>
      <w:pPr>
        <w:pStyle w:val="Compact"/>
        <w:numPr>
          <w:ilvl w:val="0"/>
          <w:numId w:val="1019"/>
        </w:numPr>
      </w:pPr>
      <w:r>
        <w:t xml:space="preserve">Colorado or New Mexico regulatory outcomes deteriorate.</w:t>
      </w:r>
    </w:p>
    <w:p>
      <w:pPr>
        <w:pStyle w:val="Compact"/>
        <w:numPr>
          <w:ilvl w:val="0"/>
          <w:numId w:val="1019"/>
        </w:numPr>
      </w:pPr>
      <w:r>
        <w:t xml:space="preserve">Data-center contracting timelines slip.</w:t>
      </w:r>
    </w:p>
    <w:p>
      <w:pPr>
        <w:pStyle w:val="Compact"/>
        <w:numPr>
          <w:ilvl w:val="0"/>
          <w:numId w:val="1019"/>
        </w:numPr>
      </w:pPr>
      <w:r>
        <w:t xml:space="preserve">Smokehouse Creek losses rise or management signals that insurance coverage may be insufficient.</w:t>
      </w:r>
    </w:p>
    <w:bookmarkEnd w:id="28"/>
    <w:bookmarkEnd w:id="29"/>
    <w:bookmarkStart w:id="30" w:name="questions-investors-should-want-answered"/>
    <w:p>
      <w:pPr>
        <w:pStyle w:val="Heading2"/>
      </w:pPr>
      <w:r>
        <w:t xml:space="preserve">Questions investors should want answered</w:t>
      </w:r>
    </w:p>
    <w:p>
      <w:pPr>
        <w:pStyle w:val="Compact"/>
        <w:numPr>
          <w:ilvl w:val="0"/>
          <w:numId w:val="1020"/>
        </w:numPr>
      </w:pPr>
      <w:r>
        <w:t xml:space="preserve">Where within the</w:t>
      </w:r>
      <w:r>
        <w:t xml:space="preserve"> </w:t>
      </w:r>
      <m:oMath>
        <m:r>
          <m:t>4.04</m:t>
        </m:r>
        <m:r>
          <m:rPr>
            <m:sty m:val="p"/>
          </m:rPr>
          <m:t>–</m:t>
        </m:r>
      </m:oMath>
      <w:r>
        <w:t xml:space="preserve">4.16 range is Xcel currently tracking?</w:t>
      </w:r>
    </w:p>
    <w:p>
      <w:pPr>
        <w:pStyle w:val="Compact"/>
        <w:numPr>
          <w:ilvl w:val="0"/>
          <w:numId w:val="1020"/>
        </w:numPr>
      </w:pPr>
      <w:r>
        <w:t xml:space="preserve">What was weather-normalized electric-sales growth in Q2, particularly at SPS?</w:t>
      </w:r>
    </w:p>
    <w:p>
      <w:pPr>
        <w:pStyle w:val="Compact"/>
        <w:numPr>
          <w:ilvl w:val="0"/>
          <w:numId w:val="1020"/>
        </w:numPr>
      </w:pPr>
      <w:r>
        <w:t xml:space="preserve">How much equity was issued or settled during the quarter, and how much of the five-year need remains?</w:t>
      </w:r>
    </w:p>
    <w:p>
      <w:pPr>
        <w:pStyle w:val="Compact"/>
        <w:numPr>
          <w:ilvl w:val="0"/>
          <w:numId w:val="1020"/>
        </w:numPr>
      </w:pPr>
      <w:r>
        <w:t xml:space="preserve">Is management still targeting another roughly 1 GW of contracted data-center load during 2026?</w:t>
      </w:r>
    </w:p>
    <w:p>
      <w:pPr>
        <w:pStyle w:val="Compact"/>
        <w:numPr>
          <w:ilvl w:val="0"/>
          <w:numId w:val="1020"/>
        </w:numPr>
      </w:pPr>
      <w:r>
        <w:t xml:space="preserve">How much of the identified $7-plus billion incremental capital opportunity will enter the formal five-year plan?</w:t>
      </w:r>
    </w:p>
    <w:p>
      <w:pPr>
        <w:pStyle w:val="Compact"/>
        <w:numPr>
          <w:ilvl w:val="0"/>
          <w:numId w:val="1020"/>
        </w:numPr>
      </w:pPr>
      <w:r>
        <w:t xml:space="preserve">What is the latest status of the Google service agreement and associated 1,900 MW resource package?</w:t>
      </w:r>
    </w:p>
    <w:p>
      <w:pPr>
        <w:pStyle w:val="Compact"/>
        <w:numPr>
          <w:ilvl w:val="0"/>
          <w:numId w:val="1020"/>
        </w:numPr>
      </w:pPr>
      <w:r>
        <w:t xml:space="preserve">What is the expected outcome and timing of the Colorado electric case?</w:t>
      </w:r>
    </w:p>
    <w:p>
      <w:pPr>
        <w:pStyle w:val="Compact"/>
        <w:numPr>
          <w:ilvl w:val="0"/>
          <w:numId w:val="1020"/>
        </w:numPr>
      </w:pPr>
      <w:r>
        <w:t xml:space="preserve">Has the Smokehouse Creek estimated loss or remaining insurance availability changed?</w:t>
      </w:r>
    </w:p>
    <w:p>
      <w:pPr>
        <w:pStyle w:val="Compact"/>
        <w:numPr>
          <w:ilvl w:val="0"/>
          <w:numId w:val="1020"/>
        </w:numPr>
      </w:pPr>
      <w:r>
        <w:t xml:space="preserve">Are supply-chain or labor constraints affecting the $14 billion 2026 construction program?</w:t>
      </w:r>
    </w:p>
    <w:p>
      <w:pPr>
        <w:pStyle w:val="Compact"/>
        <w:numPr>
          <w:ilvl w:val="0"/>
          <w:numId w:val="1020"/>
        </w:numPr>
      </w:pPr>
      <w:r>
        <w:t xml:space="preserve">Does the higher-interest-rate environment change the expected funding mix or long-term growth rate?</w:t>
      </w:r>
    </w:p>
    <w:bookmarkEnd w:id="30"/>
    <w:bookmarkStart w:id="31" w:name="bottom-line"/>
    <w:p>
      <w:pPr>
        <w:pStyle w:val="Heading2"/>
      </w:pPr>
      <w:r>
        <w:t xml:space="preserve">Bottom line</w:t>
      </w:r>
    </w:p>
    <w:p>
      <w:pPr>
        <w:pStyle w:val="FirstParagraph"/>
      </w:pPr>
      <w:r>
        <w:t xml:space="preserve">The setup is</w:t>
      </w:r>
      <w:r>
        <w:t xml:space="preserve"> </w:t>
      </w:r>
      <w:r>
        <w:rPr>
          <w:b/>
          <w:bCs/>
        </w:rPr>
        <w:t xml:space="preserve">constructive but execution-sensitive</w:t>
      </w:r>
      <w:r>
        <w:t xml:space="preserve">. Regulatory developments since Q1 have reduced some near-term uncertainty, and the company has repeatedly maintained its 2026 outlook. A routine quarter with stable guidance would keep Xcel on track.</w:t>
      </w:r>
    </w:p>
    <w:p>
      <w:pPr>
        <w:pStyle w:val="BodyText"/>
      </w:pPr>
      <w:r>
        <w:t xml:space="preserve">For a more meaningful positive reaction, however, investors will probably want evidence that the growth story is broadening—most likely through another large-load contract, additional capital-plan visibility or stronger-than-expected sales. Conversely, the main downside risks are not ordinary quarterly operating volatility, but financing pressure, unfavorable regulatory details and a renewed increase in wildfire exposure.</w:t>
      </w:r>
    </w:p>
    <w:bookmarkEnd w:id="31"/>
    <w:bookmarkEnd w:id="3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2026-07-29T18:42:22Z</dcterms:created>
  <dcterms:modified xsi:type="dcterms:W3CDTF">2026-07-29T18:42:22Z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