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el-earnings-predictions--2026-07-30"/>
    <w:p>
      <w:pPr>
        <w:pStyle w:val="Heading1"/>
      </w:pPr>
      <w:r>
        <w:t xml:space="preserve">XEL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ongoing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~$0.64 vs. cons $0.62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electric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~$2.48B vs. cons $2.43B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2Q26 operating and maintenance expense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~$691M vs. cons $702M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ongoing EPS guidance midpoint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~$4.10 vs. cons $4.10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Weather-normalized retail electric-sales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~3.0% vs. cons 3.0%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Net interest-expense increase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~$275M vs. cons $275M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Capital-rider revenue increase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~$510M vs. cons $510M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+1.4%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+1.0% (STABILIZE)</w:t>
            </w:r>
          </w:p>
        </w:tc>
        <w:tc>
          <w:tcPr/>
          <w:p>
            <w:pPr>
              <w:pStyle w:val="Compact"/>
            </w:pPr>
            <w:r>
              <w:t xml:space="preserve">A ~</w:t>
            </w:r>
            <w:r>
              <w:t xml:space="preserve">$0.02 EPS beat and lower O&amp;M should be modestly positive, but ~$</w:t>
            </w:r>
            <w:r>
              <w:t xml:space="preserve">4.10 FY2026 midpoint guidance versus ~$4.10 consensus leaves no material out-period estimate uplift. Constructive regulatory execution supports retention of the beat rather than a full fade, while financing dilution and interest-cost headwinds limit follow-through.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2026-07-29T18:42:48Z</dcterms:created>
  <dcterms:modified xsi:type="dcterms:W3CDTF">2026-07-29T18:42:48Z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