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3" w:name="X7d50ff03c29296d336f954efbb935c612301994"/>
    <w:p>
      <w:pPr>
        <w:pStyle w:val="Heading1"/>
      </w:pPr>
      <w:r>
        <w:t xml:space="preserve">Xcel Energy (NASDAQ: XEL) — 2Q26 Earnings Preview</w:t>
      </w:r>
    </w:p>
    <w:p>
      <w:pPr>
        <w:pStyle w:val="FirstParagraph"/>
      </w:pPr>
      <w:r>
        <w:rPr>
          <w:b/>
          <w:bCs/>
        </w:rPr>
        <w:t xml:space="preserve">Event:</w:t>
      </w:r>
      <w:r>
        <w:t xml:space="preserve"> </w:t>
      </w:r>
      <w:r>
        <w:t xml:space="preserve">2026Q2 earnings release and conference call —</w:t>
      </w:r>
      <w:r>
        <w:t xml:space="preserve"> </w:t>
      </w:r>
      <w:r>
        <w:rPr>
          <w:b/>
          <w:bCs/>
        </w:rPr>
        <w:t xml:space="preserve">Thursday, July 30, 2026</w:t>
      </w:r>
      <w:r>
        <w:br/>
      </w:r>
      <w:r>
        <w:rPr>
          <w:b/>
          <w:bCs/>
        </w:rPr>
        <w:t xml:space="preserve">Stock performance:</w:t>
      </w:r>
      <w:r>
        <w:t xml:space="preserve"> </w:t>
      </w:r>
      <w:r>
        <w:t xml:space="preserve">XEL closed at</w:t>
      </w:r>
      <w:r>
        <w:t xml:space="preserve"> </w:t>
      </w:r>
      <w:r>
        <w:rPr>
          <w:b/>
          <w:bCs/>
        </w:rPr>
        <w:t xml:space="preserve">$78.82 on July 29</w:t>
      </w:r>
      <w:r>
        <w:t xml:space="preserve">, up roughly</w:t>
      </w:r>
      <w:r>
        <w:t xml:space="preserve"> </w:t>
      </w:r>
      <w:r>
        <w:rPr>
          <w:b/>
          <w:bCs/>
        </w:rPr>
        <w:t xml:space="preserve">5.5% year-to-date</w:t>
      </w:r>
      <w:r>
        <w:t xml:space="preserve">, but down about</w:t>
      </w:r>
      <w:r>
        <w:t xml:space="preserve"> </w:t>
      </w:r>
      <w:r>
        <w:rPr>
          <w:b/>
          <w:bCs/>
        </w:rPr>
        <w:t xml:space="preserve">5% from its April 30 post-1Q close of $82.95</w:t>
      </w:r>
      <w:r>
        <w:t xml:space="preserve">.</w:t>
      </w:r>
    </w:p>
    <w:bookmarkStart w:id="9" w:name="bottom-line"/>
    <w:p>
      <w:pPr>
        <w:pStyle w:val="Heading2"/>
      </w:pPr>
      <w:r>
        <w:t xml:space="preserve">Bottom line</w:t>
      </w:r>
    </w:p>
    <w:p>
      <w:pPr>
        <w:pStyle w:val="FirstParagraph"/>
      </w:pPr>
      <w:r>
        <w:t xml:space="preserve">Xcel enters 2Q with a notably improved regulatory backdrop and a credible multi-year growth story centered on system investment and large-load/data-center demand. The near-term earnings setup is less about a single-quarter EPS “beat” and more about whether management can</w:t>
      </w:r>
      <w:r>
        <w:t xml:space="preserve"> </w:t>
      </w:r>
      <w:r>
        <w:rPr>
          <w:b/>
          <w:bCs/>
        </w:rPr>
        <w:t xml:space="preserve">reaffirm the</w:t>
      </w:r>
      <w:r>
        <w:rPr>
          <w:b/>
          <w:bCs/>
        </w:rPr>
        <w:t xml:space="preserve"> </w:t>
      </w:r>
      <m:oMath>
        <m:r>
          <m:t>4.04</m:t>
        </m:r>
        <m:r>
          <m:rPr>
            <m:sty m:val="p"/>
          </m:rPr>
          <m:t>–</m:t>
        </m:r>
      </m:oMath>
      <w:r>
        <w:rPr>
          <w:b/>
          <w:bCs/>
        </w:rPr>
        <w:t xml:space="preserve">4.16 ongoing EPS range</w:t>
      </w:r>
      <w:r>
        <w:t xml:space="preserve">, demonstrate that normalizing weather and summer load are offsetting financing dilution, and provide concrete next steps for the large capital and data-center opportunity.</w:t>
      </w:r>
    </w:p>
    <w:p>
      <w:pPr>
        <w:pStyle w:val="BodyText"/>
      </w:pPr>
      <w:r>
        <w:t xml:space="preserve">The positive pre-report development is that Xcel has either received a constructive Minnesota electric decision or reached settlements in several important proceedings. The key counterweights are</w:t>
      </w:r>
      <w:r>
        <w:t xml:space="preserve"> </w:t>
      </w:r>
      <w:r>
        <w:rPr>
          <w:b/>
          <w:bCs/>
        </w:rPr>
        <w:t xml:space="preserve">equity dilution, higher debt/interest expense, execution on a $14 billion 2026 capital program, and lingering wildfire exposure</w:t>
      </w:r>
      <w:r>
        <w:t xml:space="preserve">.</w:t>
      </w:r>
    </w:p>
    <w:p>
      <w:r>
        <w:pict>
          <v:rect style="width:0;height:1.5pt" o:hralign="center" o:hrstd="t" o:hr="t"/>
        </w:pict>
      </w:r>
    </w:p>
    <w:bookmarkEnd w:id="9"/>
    <w:bookmarkStart w:id="15" w:name="what-matters-most-into-the-print"/>
    <w:p>
      <w:pPr>
        <w:pStyle w:val="Heading2"/>
      </w:pPr>
      <w:r>
        <w:t xml:space="preserve">What matters most into the print</w:t>
      </w:r>
    </w:p>
    <w:bookmarkStart w:id="10" w:name="Xe033e69d658548710c423cbaf1814c4f696f785"/>
    <w:p>
      <w:pPr>
        <w:pStyle w:val="Heading3"/>
      </w:pPr>
      <w:r>
        <w:t xml:space="preserve">1. Guidance durability is the main financial test</w:t>
      </w:r>
    </w:p>
    <w:p>
      <w:pPr>
        <w:pStyle w:val="FirstParagraph"/>
      </w:pPr>
      <w:r>
        <w:t xml:space="preserve">Xcel reaffirmed its</w:t>
      </w:r>
      <w:r>
        <w:t xml:space="preserve"> </w:t>
      </w:r>
      <w:r>
        <w:rPr>
          <w:b/>
          <w:bCs/>
        </w:rPr>
        <w:t xml:space="preserve">2026 ongoing EPS guidance of</w:t>
      </w:r>
      <w:r>
        <w:rPr>
          <w:b/>
          <w:bCs/>
        </w:rPr>
        <w:t xml:space="preserve"> </w:t>
      </w:r>
      <m:oMath>
        <m:r>
          <m:t>4.04</m:t>
        </m:r>
        <m:r>
          <m:rPr>
            <m:sty m:val="p"/>
          </m:rPr>
          <m:t>–</m:t>
        </m:r>
      </m:oMath>
      <w:r>
        <w:rPr>
          <w:b/>
          <w:bCs/>
        </w:rPr>
        <w:t xml:space="preserve">4.16</w:t>
      </w:r>
      <w:r>
        <w:t xml:space="preserve"> </w:t>
      </w:r>
      <w:r>
        <w:t xml:space="preserve">after 1Q and again alongside June regulatory updates. First-quarter ongoing EPS was</w:t>
      </w:r>
      <w:r>
        <w:t xml:space="preserve"> </w:t>
      </w:r>
      <m:oMath>
        <m:r>
          <m:t>0.91</m:t>
        </m:r>
        <m:r>
          <m:rPr>
            <m:sty m:val="p"/>
          </m:rPr>
          <m:t>*</m:t>
        </m:r>
        <m:r>
          <m:rPr>
            <m:sty m:val="p"/>
          </m:rPr>
          <m:t>*</m:t>
        </m:r>
        <m:r>
          <m:rPr>
            <m:sty m:val="p"/>
          </m:rPr>
          <m:t>,</m:t>
        </m:r>
        <m:r>
          <m:t>v</m:t>
        </m:r>
        <m:r>
          <m:t>e</m:t>
        </m:r>
        <m:r>
          <m:t>r</m:t>
        </m:r>
        <m:r>
          <m:t>s</m:t>
        </m:r>
        <m:r>
          <m:t>u</m:t>
        </m:r>
        <m:r>
          <m:t>s</m:t>
        </m:r>
        <m:r>
          <m:rPr>
            <m:sty m:val="p"/>
          </m:rPr>
          <m:t>*</m:t>
        </m:r>
        <m:r>
          <m:rPr>
            <m:sty m:val="p"/>
          </m:rPr>
          <m:t>*</m:t>
        </m:r>
      </m:oMath>
      <w:r>
        <w:rPr>
          <w:b/>
          <w:bCs/>
        </w:rPr>
        <w:t xml:space="preserve">0.84</w:t>
      </w:r>
      <w:r>
        <w:t xml:space="preserve"> </w:t>
      </w:r>
      <w:r>
        <w:t xml:space="preserve">a year earlier, despite a</w:t>
      </w:r>
      <w:r>
        <w:t xml:space="preserve"> </w:t>
      </w:r>
      <w:r>
        <w:rPr>
          <w:b/>
          <w:bCs/>
        </w:rPr>
        <w:t xml:space="preserve">$0.09 per-share weather headwind</w:t>
      </w:r>
      <w:r>
        <w:t xml:space="preserve"> </w:t>
      </w:r>
      <w:r>
        <w:t xml:space="preserve">from an exceptionally warm winter.</w:t>
      </w:r>
    </w:p>
    <w:p>
      <w:pPr>
        <w:pStyle w:val="BodyText"/>
      </w:pPr>
      <w:r>
        <w:t xml:space="preserve">At the</w:t>
      </w:r>
      <w:r>
        <w:t xml:space="preserve"> </w:t>
      </w:r>
      <m:oMath>
        <m:r>
          <m:t>4.10</m:t>
        </m:r>
        <m:r>
          <m:t>m</m:t>
        </m:r>
        <m:r>
          <m:t>i</m:t>
        </m:r>
        <m:r>
          <m:t>d</m:t>
        </m:r>
        <m:r>
          <m:t>p</m:t>
        </m:r>
        <m:r>
          <m:t>o</m:t>
        </m:r>
        <m:r>
          <m:t>i</m:t>
        </m:r>
        <m:r>
          <m:t>n</m:t>
        </m:r>
        <m:r>
          <m:t>t</m:t>
        </m:r>
        <m:r>
          <m:rPr>
            <m:sty m:val="p"/>
          </m:rPr>
          <m:t>,</m:t>
        </m:r>
        <m:r>
          <m:t>X</m:t>
        </m:r>
        <m:r>
          <m:t>c</m:t>
        </m:r>
        <m:r>
          <m:t>e</m:t>
        </m:r>
        <m:r>
          <m:t>l</m:t>
        </m:r>
        <m:r>
          <m:t>n</m:t>
        </m:r>
        <m:r>
          <m:t>e</m:t>
        </m:r>
        <m:r>
          <m:t>e</m:t>
        </m:r>
        <m:r>
          <m:t>d</m:t>
        </m:r>
        <m:r>
          <m:t>s</m:t>
        </m:r>
        <m:r>
          <m:t>a</m:t>
        </m:r>
        <m:r>
          <m:t>p</m:t>
        </m:r>
        <m:r>
          <m:t>p</m:t>
        </m:r>
        <m:r>
          <m:t>r</m:t>
        </m:r>
        <m:r>
          <m:t>o</m:t>
        </m:r>
        <m:r>
          <m:t>x</m:t>
        </m:r>
        <m:r>
          <m:t>i</m:t>
        </m:r>
        <m:r>
          <m:t>m</m:t>
        </m:r>
        <m:r>
          <m:t>a</m:t>
        </m:r>
        <m:r>
          <m:t>t</m:t>
        </m:r>
        <m:r>
          <m:t>e</m:t>
        </m:r>
        <m:r>
          <m:t>l</m:t>
        </m:r>
        <m:r>
          <m:t>y</m:t>
        </m:r>
        <m:r>
          <m:rPr>
            <m:sty m:val="p"/>
          </m:rPr>
          <m:t>*</m:t>
        </m:r>
        <m:r>
          <m:rPr>
            <m:sty m:val="p"/>
          </m:rPr>
          <m:t>*</m:t>
        </m:r>
      </m:oMath>
      <w:r>
        <w:t xml:space="preserve">3.19 of ongoing EPS over the final three quarters**. That is achievable within the company’s plan, but it places a premium on:</w:t>
      </w:r>
    </w:p>
    <w:p>
      <w:pPr>
        <w:pStyle w:val="Compact"/>
        <w:numPr>
          <w:ilvl w:val="0"/>
          <w:numId w:val="1001"/>
        </w:numPr>
      </w:pPr>
      <w:r>
        <w:t xml:space="preserve">Constructive regulatory outcomes;</w:t>
      </w:r>
    </w:p>
    <w:p>
      <w:pPr>
        <w:pStyle w:val="Compact"/>
        <w:numPr>
          <w:ilvl w:val="0"/>
          <w:numId w:val="1001"/>
        </w:numPr>
      </w:pPr>
      <w:r>
        <w:t xml:space="preserve">Roughly</w:t>
      </w:r>
      <w:r>
        <w:t xml:space="preserve"> </w:t>
      </w:r>
      <w:r>
        <w:rPr>
          <w:b/>
          <w:bCs/>
        </w:rPr>
        <w:t xml:space="preserve">3% weather-normalized retail-electric sales growth</w:t>
      </w:r>
      <w:r>
        <w:t xml:space="preserve">;</w:t>
      </w:r>
    </w:p>
    <w:p>
      <w:pPr>
        <w:pStyle w:val="Compact"/>
        <w:numPr>
          <w:ilvl w:val="0"/>
          <w:numId w:val="1001"/>
        </w:numPr>
      </w:pPr>
      <w:r>
        <w:t xml:space="preserve">Capital-rider and rate-base recovery;</w:t>
      </w:r>
    </w:p>
    <w:p>
      <w:pPr>
        <w:pStyle w:val="Compact"/>
        <w:numPr>
          <w:ilvl w:val="0"/>
          <w:numId w:val="1001"/>
        </w:numPr>
      </w:pPr>
      <w:r>
        <w:t xml:space="preserve">Containing O&amp;M growth near the company’s approximately</w:t>
      </w:r>
      <w:r>
        <w:t xml:space="preserve"> </w:t>
      </w:r>
      <w:r>
        <w:rPr>
          <w:b/>
          <w:bCs/>
        </w:rPr>
        <w:t xml:space="preserve">3%</w:t>
      </w:r>
      <w:r>
        <w:t xml:space="preserve"> </w:t>
      </w:r>
      <w:r>
        <w:t xml:space="preserve">target; and</w:t>
      </w:r>
    </w:p>
    <w:p>
      <w:pPr>
        <w:pStyle w:val="Compact"/>
        <w:numPr>
          <w:ilvl w:val="0"/>
          <w:numId w:val="1001"/>
        </w:numPr>
      </w:pPr>
      <w:r>
        <w:t xml:space="preserve">Avoiding incremental wildfire charges or operational disruptions.</w:t>
      </w:r>
    </w:p>
    <w:p>
      <w:pPr>
        <w:pStyle w:val="FirstParagraph"/>
      </w:pPr>
      <w:r>
        <w:rPr>
          <w:b/>
          <w:bCs/>
        </w:rPr>
        <w:t xml:space="preserve">Investor implication:</w:t>
      </w:r>
      <w:r>
        <w:t xml:space="preserve"> </w:t>
      </w:r>
      <w:r>
        <w:t xml:space="preserve">A guide reaffirmation is likely expected. The more important signal will be management’s confidence level, including whether it characterizes the midpoint as comfortably achievable despite financing and dilution pressure.</w:t>
      </w:r>
    </w:p>
    <w:p>
      <w:r>
        <w:pict>
          <v:rect style="width:0;height:1.5pt" o:hralign="center" o:hrstd="t" o:hr="t"/>
        </w:pict>
      </w:r>
    </w:p>
    <w:bookmarkEnd w:id="10"/>
    <w:bookmarkStart w:id="11" w:name="Xa17b247adf6e2e4d5f2744f558f49aa299ef80e"/>
    <w:p>
      <w:pPr>
        <w:pStyle w:val="Heading3"/>
      </w:pPr>
      <w:r>
        <w:t xml:space="preserve">2. 2Q should benefit from a much better regulatory setup</w:t>
      </w:r>
    </w:p>
    <w:p>
      <w:pPr>
        <w:pStyle w:val="FirstParagraph"/>
      </w:pPr>
      <w:r>
        <w:t xml:space="preserve">The company’s regulatory progress since the 1Q call has been constructive and materially reduces one source of uncertainty.</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Proceeding</w:t>
            </w:r>
          </w:p>
        </w:tc>
        <w:tc>
          <w:tcPr/>
          <w:p>
            <w:pPr>
              <w:pStyle w:val="Compact"/>
            </w:pPr>
            <w:r>
              <w:t xml:space="preserve">Latest status</w:t>
            </w:r>
          </w:p>
        </w:tc>
        <w:tc>
          <w:tcPr/>
          <w:p>
            <w:pPr>
              <w:pStyle w:val="Compact"/>
            </w:pPr>
            <w:r>
              <w:t xml:space="preserve">Investor relevance</w:t>
            </w:r>
          </w:p>
        </w:tc>
      </w:tr>
      <w:tr>
        <w:tc>
          <w:tcPr/>
          <w:p>
            <w:pPr>
              <w:pStyle w:val="Compact"/>
            </w:pPr>
            <w:r>
              <w:rPr>
                <w:b/>
                <w:bCs/>
              </w:rPr>
              <w:t xml:space="preserve">Minnesota electric rate case</w:t>
            </w:r>
          </w:p>
        </w:tc>
        <w:tc>
          <w:tcPr/>
          <w:p>
            <w:pPr>
              <w:pStyle w:val="Compact"/>
            </w:pPr>
            <w:r>
              <w:t xml:space="preserve">MPUC verbally approved an estimated</w:t>
            </w:r>
            <w:r>
              <w:t xml:space="preserve"> </w:t>
            </w:r>
            <w:r>
              <w:rPr>
                <w:b/>
                <w:bCs/>
              </w:rPr>
              <w:t xml:space="preserve">$211 million</w:t>
            </w:r>
            <w:r>
              <w:t xml:space="preserve"> </w:t>
            </w:r>
            <w:r>
              <w:t xml:space="preserve">increase over two years, including a</w:t>
            </w:r>
            <w:r>
              <w:t xml:space="preserve"> </w:t>
            </w:r>
            <w:r>
              <w:rPr>
                <w:b/>
                <w:bCs/>
              </w:rPr>
              <w:t xml:space="preserve">9.60% ROE</w:t>
            </w:r>
            <w:r>
              <w:t xml:space="preserve"> </w:t>
            </w:r>
            <w:r>
              <w:t xml:space="preserve">and 52.5% equity ratio; written order expected by July 31.</w:t>
            </w:r>
          </w:p>
        </w:tc>
        <w:tc>
          <w:tcPr/>
          <w:p>
            <w:pPr>
              <w:pStyle w:val="Compact"/>
            </w:pPr>
            <w:r>
              <w:t xml:space="preserve">The most important near-term confirmation point. The result is below Xcel’s original request but supports a higher ROE than the prior 9.25% and preserves meaningful trackers.</w:t>
            </w:r>
          </w:p>
        </w:tc>
      </w:tr>
      <w:tr>
        <w:tc>
          <w:tcPr/>
          <w:p>
            <w:pPr>
              <w:pStyle w:val="Compact"/>
            </w:pPr>
            <w:r>
              <w:rPr>
                <w:b/>
                <w:bCs/>
              </w:rPr>
              <w:t xml:space="preserve">Minnesota gas rate case</w:t>
            </w:r>
          </w:p>
        </w:tc>
        <w:tc>
          <w:tcPr/>
          <w:p>
            <w:pPr>
              <w:pStyle w:val="Compact"/>
            </w:pPr>
            <w:r>
              <w:t xml:space="preserve">Non-unanimous settlement for a</w:t>
            </w:r>
            <w:r>
              <w:t xml:space="preserve"> </w:t>
            </w:r>
            <w:r>
              <w:rPr>
                <w:b/>
                <w:bCs/>
              </w:rPr>
              <w:t xml:space="preserve">$38 million</w:t>
            </w:r>
            <w:r>
              <w:t xml:space="preserve"> </w:t>
            </w:r>
            <w:r>
              <w:t xml:space="preserve">revenue increase, with a 7.21% weighted average cost of capital; MPUC decision expected in November.</w:t>
            </w:r>
          </w:p>
        </w:tc>
        <w:tc>
          <w:tcPr/>
          <w:p>
            <w:pPr>
              <w:pStyle w:val="Compact"/>
            </w:pPr>
            <w:r>
              <w:t xml:space="preserve">Incrementally constructive, though smaller in earnings importance.</w:t>
            </w:r>
          </w:p>
        </w:tc>
      </w:tr>
      <w:tr>
        <w:tc>
          <w:tcPr/>
          <w:p>
            <w:pPr>
              <w:pStyle w:val="Compact"/>
            </w:pPr>
            <w:r>
              <w:rPr>
                <w:b/>
                <w:bCs/>
              </w:rPr>
              <w:t xml:space="preserve">New Mexico electric rate case</w:t>
            </w:r>
          </w:p>
        </w:tc>
        <w:tc>
          <w:tcPr/>
          <w:p>
            <w:pPr>
              <w:pStyle w:val="Compact"/>
            </w:pPr>
            <w:r>
              <w:t xml:space="preserve">Non-unanimous stipulation proposes a</w:t>
            </w:r>
            <w:r>
              <w:t xml:space="preserve"> </w:t>
            </w:r>
            <w:r>
              <w:rPr>
                <w:b/>
                <w:bCs/>
              </w:rPr>
              <w:t xml:space="preserve">$90 million</w:t>
            </w:r>
            <w:r>
              <w:t xml:space="preserve"> </w:t>
            </w:r>
            <w:r>
              <w:t xml:space="preserve">base-rate increase, 9.5% ROE and 54.7% equity ratio; decision anticipated in 4Q.</w:t>
            </w:r>
          </w:p>
        </w:tc>
        <w:tc>
          <w:tcPr/>
          <w:p>
            <w:pPr>
              <w:pStyle w:val="Compact"/>
            </w:pPr>
            <w:r>
              <w:t xml:space="preserve">Settlement materially de-risks the process, but regulator/staff opposition means final approval remains a watch item.</w:t>
            </w:r>
          </w:p>
        </w:tc>
      </w:tr>
      <w:tr>
        <w:tc>
          <w:tcPr/>
          <w:p>
            <w:pPr>
              <w:pStyle w:val="Compact"/>
            </w:pPr>
            <w:r>
              <w:rPr>
                <w:b/>
                <w:bCs/>
              </w:rPr>
              <w:t xml:space="preserve">Colorado gas rate case</w:t>
            </w:r>
          </w:p>
        </w:tc>
        <w:tc>
          <w:tcPr/>
          <w:p>
            <w:pPr>
              <w:pStyle w:val="Compact"/>
            </w:pPr>
            <w:r>
              <w:t xml:space="preserve">Non-unanimous settlement proposes a</w:t>
            </w:r>
            <w:r>
              <w:t xml:space="preserve"> </w:t>
            </w:r>
            <w:r>
              <w:rPr>
                <w:b/>
                <w:bCs/>
              </w:rPr>
              <w:t xml:space="preserve">$123 million</w:t>
            </w:r>
            <w:r>
              <w:t xml:space="preserve"> </w:t>
            </w:r>
            <w:r>
              <w:t xml:space="preserve">increase, 9.2% ROE and 54.5% equity ratio; decision expected in 4Q.</w:t>
            </w:r>
          </w:p>
        </w:tc>
        <w:tc>
          <w:tcPr/>
          <w:p>
            <w:pPr>
              <w:pStyle w:val="Compact"/>
            </w:pPr>
            <w:r>
              <w:t xml:space="preserve">A constructive settlement, though economics are below Xcel’s original $190 million request and 10.75% ROE.</w:t>
            </w:r>
          </w:p>
        </w:tc>
      </w:tr>
    </w:tbl>
    <w:p>
      <w:pPr>
        <w:pStyle w:val="BodyText"/>
      </w:pPr>
      <w:r>
        <w:t xml:space="preserve">The key open question for the call is the</w:t>
      </w:r>
      <w:r>
        <w:t xml:space="preserve"> </w:t>
      </w:r>
      <w:r>
        <w:rPr>
          <w:b/>
          <w:bCs/>
        </w:rPr>
        <w:t xml:space="preserve">Colorado electric rate case</w:t>
      </w:r>
      <w:r>
        <w:t xml:space="preserve">, which is larger and more consequential for earned returns and regulatory lag. In 1Q, management expressed confidence that intervenor positions provided a reasonable basis for settlement discussions. Investors will want an update on settlement status, expected authorized ROE/equity ratio, rider treatment, and rate timing.</w:t>
      </w:r>
    </w:p>
    <w:p>
      <w:r>
        <w:pict>
          <v:rect style="width:0;height:1.5pt" o:hralign="center" o:hrstd="t" o:hr="t"/>
        </w:pict>
      </w:r>
    </w:p>
    <w:bookmarkEnd w:id="11"/>
    <w:bookmarkStart w:id="12" w:name="Xda2fa2c9cbf64a3eeebe4d9ed7bb736069f3696"/>
    <w:p>
      <w:pPr>
        <w:pStyle w:val="Heading3"/>
      </w:pPr>
      <w:r>
        <w:t xml:space="preserve">3. Data centers are the upside case—but milestones matter more than headlines</w:t>
      </w:r>
    </w:p>
    <w:p>
      <w:pPr>
        <w:pStyle w:val="FirstParagraph"/>
      </w:pPr>
      <w:r>
        <w:t xml:space="preserve">Xcel’s strategic differentiator is its attempt to translate large-load demand into</w:t>
      </w:r>
      <w:r>
        <w:t xml:space="preserve"> </w:t>
      </w:r>
      <w:r>
        <w:rPr>
          <w:b/>
          <w:bCs/>
        </w:rPr>
        <w:t xml:space="preserve">regulated capital deployment while protecting existing customers</w:t>
      </w:r>
      <w:r>
        <w:t xml:space="preserve">.</w:t>
      </w:r>
    </w:p>
    <w:p>
      <w:pPr>
        <w:pStyle w:val="BodyText"/>
      </w:pPr>
      <w:r>
        <w:t xml:space="preserve">Management has outlined:</w:t>
      </w:r>
    </w:p>
    <w:p>
      <w:pPr>
        <w:pStyle w:val="Compact"/>
        <w:numPr>
          <w:ilvl w:val="0"/>
          <w:numId w:val="1002"/>
        </w:numPr>
      </w:pPr>
      <w:r>
        <w:t xml:space="preserve">A</w:t>
      </w:r>
      <w:r>
        <w:t xml:space="preserve"> </w:t>
      </w:r>
      <w:r>
        <w:rPr>
          <w:b/>
          <w:bCs/>
        </w:rPr>
        <w:t xml:space="preserve">$60 billion</w:t>
      </w:r>
      <w:r>
        <w:t xml:space="preserve"> </w:t>
      </w:r>
      <w:r>
        <w:t xml:space="preserve">base 2026–2030 capital plan;</w:t>
      </w:r>
    </w:p>
    <w:p>
      <w:pPr>
        <w:pStyle w:val="Compact"/>
        <w:numPr>
          <w:ilvl w:val="0"/>
          <w:numId w:val="1002"/>
        </w:numPr>
      </w:pPr>
      <w:r>
        <w:t xml:space="preserve">More than</w:t>
      </w:r>
      <w:r>
        <w:t xml:space="preserve"> </w:t>
      </w:r>
      <w:r>
        <w:rPr>
          <w:b/>
          <w:bCs/>
        </w:rPr>
        <w:t xml:space="preserve">$10 billion</w:t>
      </w:r>
      <w:r>
        <w:t xml:space="preserve"> </w:t>
      </w:r>
      <w:r>
        <w:t xml:space="preserve">of incremental investment opportunity;</w:t>
      </w:r>
    </w:p>
    <w:p>
      <w:pPr>
        <w:pStyle w:val="Compact"/>
        <w:numPr>
          <w:ilvl w:val="0"/>
          <w:numId w:val="1002"/>
        </w:numPr>
      </w:pPr>
      <w:r>
        <w:t xml:space="preserve">Line of sight to at least</w:t>
      </w:r>
      <w:r>
        <w:t xml:space="preserve"> </w:t>
      </w:r>
      <w:r>
        <w:rPr>
          <w:b/>
          <w:bCs/>
        </w:rPr>
        <w:t xml:space="preserve">$7 billion</w:t>
      </w:r>
      <w:r>
        <w:t xml:space="preserve"> </w:t>
      </w:r>
      <w:r>
        <w:t xml:space="preserve">of that incremental pipeline as of 1Q;</w:t>
      </w:r>
    </w:p>
    <w:p>
      <w:pPr>
        <w:pStyle w:val="Compact"/>
        <w:numPr>
          <w:ilvl w:val="0"/>
          <w:numId w:val="1002"/>
        </w:numPr>
      </w:pPr>
      <w:r>
        <w:t xml:space="preserve">A goal to secure</w:t>
      </w:r>
      <w:r>
        <w:t xml:space="preserve"> </w:t>
      </w:r>
      <w:r>
        <w:rPr>
          <w:b/>
          <w:bCs/>
        </w:rPr>
        <w:t xml:space="preserve">6 GW of data-center load by year-end 2027</w:t>
      </w:r>
      <w:r>
        <w:t xml:space="preserve">; and</w:t>
      </w:r>
    </w:p>
    <w:p>
      <w:pPr>
        <w:pStyle w:val="Compact"/>
        <w:numPr>
          <w:ilvl w:val="0"/>
          <w:numId w:val="1002"/>
        </w:numPr>
      </w:pPr>
      <w:r>
        <w:t xml:space="preserve">A Google agreement in Minnesota tied to approximately</w:t>
      </w:r>
      <w:r>
        <w:t xml:space="preserve"> </w:t>
      </w:r>
      <w:r>
        <w:rPr>
          <w:b/>
          <w:bCs/>
        </w:rPr>
        <w:t xml:space="preserve">1,900 MW</w:t>
      </w:r>
      <w:r>
        <w:t xml:space="preserve"> </w:t>
      </w:r>
      <w:r>
        <w:t xml:space="preserve">of new wind, solar and long-duration storage.</w:t>
      </w:r>
    </w:p>
    <w:p>
      <w:pPr>
        <w:pStyle w:val="FirstParagraph"/>
      </w:pPr>
      <w:r>
        <w:t xml:space="preserve">Xcel’s contention is that its Google arrangement can provide</w:t>
      </w:r>
      <w:r>
        <w:t xml:space="preserve"> </w:t>
      </w:r>
      <m:oMath>
        <m:r>
          <m:t>1.0</m:t>
        </m:r>
        <m:r>
          <m:t>b</m:t>
        </m:r>
        <m:r>
          <m:t>i</m:t>
        </m:r>
        <m:r>
          <m:t>l</m:t>
        </m:r>
        <m:r>
          <m:t>l</m:t>
        </m:r>
        <m:r>
          <m:t>i</m:t>
        </m:r>
        <m:r>
          <m:t>o</m:t>
        </m:r>
        <m:r>
          <m:t>n</m:t>
        </m:r>
        <m:r>
          <m:rPr>
            <m:sty m:val="p"/>
          </m:rPr>
          <m:t>–</m:t>
        </m:r>
      </m:oMath>
      <w:r>
        <w:rPr>
          <w:b/>
          <w:bCs/>
        </w:rPr>
        <w:t xml:space="preserve">1.5 billion of customer benefits</w:t>
      </w:r>
      <w:r>
        <w:t xml:space="preserve"> </w:t>
      </w:r>
      <w:r>
        <w:t xml:space="preserve">over the 15-year term, with the large customer responsible for the incremental service and infrastructure costs. That customer-protection framework is central: it is what could make large-load growth politically and regulatorily durable rather than merely a demand-growth story.</w:t>
      </w:r>
    </w:p>
    <w:p>
      <w:pPr>
        <w:pStyle w:val="BodyText"/>
      </w:pPr>
      <w:r>
        <w:rPr>
          <w:b/>
          <w:bCs/>
        </w:rPr>
        <w:t xml:space="preserve">What to listen for:</w:t>
      </w:r>
    </w:p>
    <w:p>
      <w:pPr>
        <w:pStyle w:val="Compact"/>
        <w:numPr>
          <w:ilvl w:val="0"/>
          <w:numId w:val="1003"/>
        </w:numPr>
      </w:pPr>
      <w:r>
        <w:t xml:space="preserve">Any additional signed electric-service agreements or progress toward the 2026 contracting goal;</w:t>
      </w:r>
    </w:p>
    <w:p>
      <w:pPr>
        <w:pStyle w:val="Compact"/>
        <w:numPr>
          <w:ilvl w:val="0"/>
          <w:numId w:val="1003"/>
        </w:numPr>
      </w:pPr>
      <w:r>
        <w:t xml:space="preserve">Regulatory progress on the Google agreement and Minnesota clean-energy accelerator resources;</w:t>
      </w:r>
    </w:p>
    <w:p>
      <w:pPr>
        <w:pStyle w:val="Compact"/>
        <w:numPr>
          <w:ilvl w:val="0"/>
          <w:numId w:val="1003"/>
        </w:numPr>
      </w:pPr>
      <w:r>
        <w:t xml:space="preserve">The timing, location and ownership mix of projects supporting incremental data-center load;</w:t>
      </w:r>
    </w:p>
    <w:p>
      <w:pPr>
        <w:pStyle w:val="Compact"/>
        <w:numPr>
          <w:ilvl w:val="0"/>
          <w:numId w:val="1003"/>
        </w:numPr>
      </w:pPr>
      <w:r>
        <w:t xml:space="preserve">Updates to the NextEra joint-development arrangement; and</w:t>
      </w:r>
    </w:p>
    <w:p>
      <w:pPr>
        <w:pStyle w:val="Compact"/>
        <w:numPr>
          <w:ilvl w:val="0"/>
          <w:numId w:val="1003"/>
        </w:numPr>
      </w:pPr>
      <w:r>
        <w:t xml:space="preserve">Whether management adds specificity around incremental capital spending through 2030 versus the early 2030s.</w:t>
      </w:r>
    </w:p>
    <w:p>
      <w:pPr>
        <w:pStyle w:val="FirstParagraph"/>
      </w:pPr>
      <w:r>
        <w:t xml:space="preserve">The upside is substantial, but it remains longer dated. The stock is likely to respond most positively to</w:t>
      </w:r>
      <w:r>
        <w:t xml:space="preserve"> </w:t>
      </w:r>
      <w:r>
        <w:rPr>
          <w:b/>
          <w:bCs/>
        </w:rPr>
        <w:t xml:space="preserve">contracted load, commission approvals, or identified company-owned projects</w:t>
      </w:r>
      <w:r>
        <w:t xml:space="preserve">, not broad pipeline commentary alone.</w:t>
      </w:r>
    </w:p>
    <w:p>
      <w:r>
        <w:pict>
          <v:rect style="width:0;height:1.5pt" o:hralign="center" o:hrstd="t" o:hr="t"/>
        </w:pict>
      </w:r>
    </w:p>
    <w:bookmarkEnd w:id="12"/>
    <w:bookmarkStart w:id="13" w:name="X1c8ab9f10460859a233cc389394c1b07add0368"/>
    <w:p>
      <w:pPr>
        <w:pStyle w:val="Heading3"/>
      </w:pPr>
      <w:r>
        <w:t xml:space="preserve">4. Financing remains the principal earnings and valuation offset</w:t>
      </w:r>
    </w:p>
    <w:p>
      <w:pPr>
        <w:pStyle w:val="FirstParagraph"/>
      </w:pPr>
      <w:r>
        <w:t xml:space="preserve">Xcel is funding an unusually large investment cycle. This supports rate-base growth but creates real near-term drag from financing costs and share issuance.</w:t>
      </w:r>
    </w:p>
    <w:p>
      <w:pPr>
        <w:pStyle w:val="BodyText"/>
      </w:pPr>
      <w:r>
        <w:t xml:space="preserve">In 1Q:</w:t>
      </w:r>
    </w:p>
    <w:p>
      <w:pPr>
        <w:pStyle w:val="Compact"/>
        <w:numPr>
          <w:ilvl w:val="0"/>
          <w:numId w:val="1004"/>
        </w:numPr>
      </w:pPr>
      <w:r>
        <w:t xml:space="preserve">Higher interest expense reduced EPS by</w:t>
      </w:r>
      <w:r>
        <w:t xml:space="preserve"> </w:t>
      </w:r>
      <w:r>
        <w:rPr>
          <w:b/>
          <w:bCs/>
        </w:rPr>
        <w:t xml:space="preserve">$0.10</w:t>
      </w:r>
      <w:r>
        <w:t xml:space="preserve"> </w:t>
      </w:r>
      <w:r>
        <w:t xml:space="preserve">year over year;</w:t>
      </w:r>
    </w:p>
    <w:p>
      <w:pPr>
        <w:pStyle w:val="Compact"/>
        <w:numPr>
          <w:ilvl w:val="0"/>
          <w:numId w:val="1004"/>
        </w:numPr>
      </w:pPr>
      <w:r>
        <w:t xml:space="preserve">Common-equity financing reduced EPS by</w:t>
      </w:r>
      <w:r>
        <w:t xml:space="preserve"> </w:t>
      </w:r>
      <w:r>
        <w:rPr>
          <w:b/>
          <w:bCs/>
        </w:rPr>
        <w:t xml:space="preserve">$0.08</w:t>
      </w:r>
      <w:r>
        <w:t xml:space="preserve">;</w:t>
      </w:r>
    </w:p>
    <w:p>
      <w:pPr>
        <w:pStyle w:val="Compact"/>
        <w:numPr>
          <w:ilvl w:val="0"/>
          <w:numId w:val="1004"/>
        </w:numPr>
      </w:pPr>
      <w:r>
        <w:t xml:space="preserve">Debt totaled</w:t>
      </w:r>
      <w:r>
        <w:t xml:space="preserve"> </w:t>
      </w:r>
      <w:r>
        <w:rPr>
          <w:b/>
          <w:bCs/>
        </w:rPr>
        <w:t xml:space="preserve">$37.0 billion</w:t>
      </w:r>
      <w:r>
        <w:t xml:space="preserve">, or</w:t>
      </w:r>
      <w:r>
        <w:t xml:space="preserve"> </w:t>
      </w:r>
      <w:r>
        <w:rPr>
          <w:b/>
          <w:bCs/>
        </w:rPr>
        <w:t xml:space="preserve">61%</w:t>
      </w:r>
      <w:r>
        <w:t xml:space="preserve"> </w:t>
      </w:r>
      <w:r>
        <w:t xml:space="preserve">of total capitalization;</w:t>
      </w:r>
    </w:p>
    <w:p>
      <w:pPr>
        <w:pStyle w:val="Compact"/>
        <w:numPr>
          <w:ilvl w:val="0"/>
          <w:numId w:val="1004"/>
        </w:numPr>
      </w:pPr>
      <w:r>
        <w:t xml:space="preserve">Xcel had</w:t>
      </w:r>
      <w:r>
        <w:t xml:space="preserve"> </w:t>
      </w:r>
      <w:r>
        <w:rPr>
          <w:b/>
          <w:bCs/>
        </w:rPr>
        <w:t xml:space="preserve">40.9 million unsettled forward-sale shares</w:t>
      </w:r>
      <w:r>
        <w:t xml:space="preserve"> </w:t>
      </w:r>
      <w:r>
        <w:t xml:space="preserve">outstanding, with minimum expected proceeds of roughly</w:t>
      </w:r>
      <w:r>
        <w:t xml:space="preserve"> </w:t>
      </w:r>
      <w:r>
        <w:rPr>
          <w:b/>
          <w:bCs/>
        </w:rPr>
        <w:t xml:space="preserve">$3.1 billion</w:t>
      </w:r>
      <w:r>
        <w:t xml:space="preserve">.</w:t>
      </w:r>
    </w:p>
    <w:p>
      <w:pPr>
        <w:pStyle w:val="FirstParagraph"/>
      </w:pPr>
      <w:r>
        <w:t xml:space="preserve">Management has said it has addressed more than half of the roughly</w:t>
      </w:r>
      <w:r>
        <w:t xml:space="preserve"> </w:t>
      </w:r>
      <w:r>
        <w:rPr>
          <w:b/>
          <w:bCs/>
        </w:rPr>
        <w:t xml:space="preserve">$7 billion equity need</w:t>
      </w:r>
      <w:r>
        <w:t xml:space="preserve"> </w:t>
      </w:r>
      <w:r>
        <w:t xml:space="preserve">embedded in its five-year base plan. That is credit-positive and lowers funding uncertainty, but it also makes dilution a persistent headwind to per-share growth.</w:t>
      </w:r>
    </w:p>
    <w:p>
      <w:pPr>
        <w:pStyle w:val="BodyText"/>
      </w:pPr>
      <w:r>
        <w:rPr>
          <w:b/>
          <w:bCs/>
        </w:rPr>
        <w:t xml:space="preserve">Key question:</w:t>
      </w:r>
      <w:r>
        <w:t xml:space="preserve"> </w:t>
      </w:r>
      <w:r>
        <w:t xml:space="preserve">Can rate-base recovery, AFUDC and sales growth continue to outrun higher interest, depreciation and dilution? In 1Q, the answer was yes—higher electric revenue and AFUDC were more than sufficient to offset those pressures. Investors will want confirmation that this remains true in 2Q.</w:t>
      </w:r>
    </w:p>
    <w:p>
      <w:r>
        <w:pict>
          <v:rect style="width:0;height:1.5pt" o:hralign="center" o:hrstd="t" o:hr="t"/>
        </w:pict>
      </w:r>
    </w:p>
    <w:bookmarkEnd w:id="13"/>
    <w:bookmarkStart w:id="14" w:name="Xfed50d2a807ca747db99a1205241f46a873441c"/>
    <w:p>
      <w:pPr>
        <w:pStyle w:val="Heading3"/>
      </w:pPr>
      <w:r>
        <w:t xml:space="preserve">5. Sales growth and weather will shape the quarterly outcome</w:t>
      </w:r>
    </w:p>
    <w:p>
      <w:pPr>
        <w:pStyle w:val="FirstParagraph"/>
      </w:pPr>
      <w:r>
        <w:t xml:space="preserve">The 1Q result illustrated both the strength and the sensitivity of the model:</w:t>
      </w:r>
    </w:p>
    <w:p>
      <w:pPr>
        <w:pStyle w:val="Compact"/>
        <w:numPr>
          <w:ilvl w:val="0"/>
          <w:numId w:val="1005"/>
        </w:numPr>
      </w:pPr>
      <w:r>
        <w:t xml:space="preserve">Weather-normalized electric sales rose</w:t>
      </w:r>
      <w:r>
        <w:t xml:space="preserve"> </w:t>
      </w:r>
      <w:r>
        <w:rPr>
          <w:b/>
          <w:bCs/>
        </w:rPr>
        <w:t xml:space="preserve">2.8%</w:t>
      </w:r>
      <w:r>
        <w:t xml:space="preserve">;</w:t>
      </w:r>
    </w:p>
    <w:p>
      <w:pPr>
        <w:pStyle w:val="Compact"/>
        <w:numPr>
          <w:ilvl w:val="0"/>
          <w:numId w:val="1005"/>
        </w:numPr>
      </w:pPr>
      <w:r>
        <w:t xml:space="preserve">C&amp;I sales were particularly strong, including continued energy-sector activity in SPS;</w:t>
      </w:r>
    </w:p>
    <w:p>
      <w:pPr>
        <w:pStyle w:val="Compact"/>
        <w:numPr>
          <w:ilvl w:val="0"/>
          <w:numId w:val="1005"/>
        </w:numPr>
      </w:pPr>
      <w:r>
        <w:t xml:space="preserve">But warm winter weather reduced EPS by roughly</w:t>
      </w:r>
      <w:r>
        <w:t xml:space="preserve"> </w:t>
      </w:r>
      <w:r>
        <w:rPr>
          <w:b/>
          <w:bCs/>
        </w:rPr>
        <w:t xml:space="preserve">$0.09</w:t>
      </w:r>
      <w:r>
        <w:t xml:space="preserve"> </w:t>
      </w:r>
      <w:r>
        <w:t xml:space="preserve">versus normal.</w:t>
      </w:r>
    </w:p>
    <w:p>
      <w:pPr>
        <w:pStyle w:val="FirstParagraph"/>
      </w:pPr>
      <w:r>
        <w:t xml:space="preserve">For 2Q, the company’s full-year framework still assumes around</w:t>
      </w:r>
      <w:r>
        <w:t xml:space="preserve"> </w:t>
      </w:r>
      <w:r>
        <w:rPr>
          <w:b/>
          <w:bCs/>
        </w:rPr>
        <w:t xml:space="preserve">3% weather-normalized electric-sales growth</w:t>
      </w:r>
      <w:r>
        <w:t xml:space="preserve">. Investors should focus on weather-normalized demand rather than headline revenue, given fuel-cost pass-throughs and seasonal volatility.</w:t>
      </w:r>
    </w:p>
    <w:p>
      <w:pPr>
        <w:pStyle w:val="BodyText"/>
      </w:pPr>
      <w:r>
        <w:t xml:space="preserve">Areas to watch:</w:t>
      </w:r>
    </w:p>
    <w:p>
      <w:pPr>
        <w:pStyle w:val="Compact"/>
        <w:numPr>
          <w:ilvl w:val="0"/>
          <w:numId w:val="1006"/>
        </w:numPr>
      </w:pPr>
      <w:r>
        <w:rPr>
          <w:b/>
          <w:bCs/>
        </w:rPr>
        <w:t xml:space="preserve">SPS:</w:t>
      </w:r>
      <w:r>
        <w:t xml:space="preserve"> </w:t>
      </w:r>
      <w:r>
        <w:t xml:space="preserve">Oil-and-gas activity and industrial demand;</w:t>
      </w:r>
    </w:p>
    <w:p>
      <w:pPr>
        <w:pStyle w:val="Compact"/>
        <w:numPr>
          <w:ilvl w:val="0"/>
          <w:numId w:val="1006"/>
        </w:numPr>
      </w:pPr>
      <w:r>
        <w:rPr>
          <w:b/>
          <w:bCs/>
        </w:rPr>
        <w:t xml:space="preserve">Colorado:</w:t>
      </w:r>
      <w:r>
        <w:t xml:space="preserve"> </w:t>
      </w:r>
      <w:r>
        <w:t xml:space="preserve">C&amp;I and emerging large-load growth;</w:t>
      </w:r>
    </w:p>
    <w:p>
      <w:pPr>
        <w:pStyle w:val="Compact"/>
        <w:numPr>
          <w:ilvl w:val="0"/>
          <w:numId w:val="1006"/>
        </w:numPr>
      </w:pPr>
      <w:r>
        <w:rPr>
          <w:b/>
          <w:bCs/>
        </w:rPr>
        <w:t xml:space="preserve">Upper Midwest:</w:t>
      </w:r>
      <w:r>
        <w:t xml:space="preserve"> </w:t>
      </w:r>
      <w:r>
        <w:t xml:space="preserve">Demand trends and preparation for future data-center load;</w:t>
      </w:r>
    </w:p>
    <w:p>
      <w:pPr>
        <w:pStyle w:val="Compact"/>
        <w:numPr>
          <w:ilvl w:val="0"/>
          <w:numId w:val="1006"/>
        </w:numPr>
      </w:pPr>
      <w:r>
        <w:rPr>
          <w:b/>
          <w:bCs/>
        </w:rPr>
        <w:t xml:space="preserve">Residential use per customer:</w:t>
      </w:r>
      <w:r>
        <w:t xml:space="preserve"> </w:t>
      </w:r>
      <w:r>
        <w:t xml:space="preserve">A potential offset if summer temperatures or consumer demand are softer than normal.</w:t>
      </w:r>
    </w:p>
    <w:p>
      <w:r>
        <w:pict>
          <v:rect style="width:0;height:1.5pt" o:hralign="center" o:hrstd="t" o:hr="t"/>
        </w:pict>
      </w:r>
    </w:p>
    <w:bookmarkEnd w:id="14"/>
    <w:bookmarkEnd w:id="15"/>
    <w:bookmarkStart w:id="16" w:name="X54ba82043e33ecf5405f4940059cddc7c97826a"/>
    <w:p>
      <w:pPr>
        <w:pStyle w:val="Heading2"/>
      </w:pPr>
      <w:r>
        <w:t xml:space="preserve">Wildfire: reduced near-term uncertainty, but not eliminated</w:t>
      </w:r>
    </w:p>
    <w:p>
      <w:pPr>
        <w:pStyle w:val="FirstParagraph"/>
      </w:pPr>
      <w:r>
        <w:t xml:space="preserve">The Smokehouse Creek Fire remains a risk factor. As of the 1Q filing, Xcel had recorded an estimated</w:t>
      </w:r>
      <w:r>
        <w:t xml:space="preserve"> </w:t>
      </w:r>
      <m:oMath>
        <m:r>
          <m:t>460</m:t>
        </m:r>
        <m:r>
          <m:t>m</m:t>
        </m:r>
        <m:r>
          <m:t>i</m:t>
        </m:r>
        <m:r>
          <m:t>l</m:t>
        </m:r>
        <m:r>
          <m:t>l</m:t>
        </m:r>
        <m:r>
          <m:t>i</m:t>
        </m:r>
        <m:r>
          <m:t>o</m:t>
        </m:r>
        <m:r>
          <m:t>n</m:t>
        </m:r>
        <m:r>
          <m:rPr>
            <m:sty m:val="p"/>
          </m:rPr>
          <m:t>*</m:t>
        </m:r>
        <m:r>
          <m:rPr>
            <m:sty m:val="p"/>
          </m:rPr>
          <m:t>*</m:t>
        </m:r>
        <m:r>
          <m:t>o</m:t>
        </m:r>
        <m:r>
          <m:t>f</m:t>
        </m:r>
        <m:r>
          <m:t>p</m:t>
        </m:r>
        <m:r>
          <m:t>r</m:t>
        </m:r>
        <m:r>
          <m:t>o</m:t>
        </m:r>
        <m:r>
          <m:t>b</m:t>
        </m:r>
        <m:r>
          <m:t>a</m:t>
        </m:r>
        <m:r>
          <m:t>b</m:t>
        </m:r>
        <m:r>
          <m:t>l</m:t>
        </m:r>
        <m:r>
          <m:t>e</m:t>
        </m:r>
        <m:r>
          <m:t>l</m:t>
        </m:r>
        <m:r>
          <m:t>o</m:t>
        </m:r>
        <m:r>
          <m:t>s</m:t>
        </m:r>
        <m:r>
          <m:t>s</m:t>
        </m:r>
        <m:r>
          <m:t>e</m:t>
        </m:r>
        <m:r>
          <m:t>s</m:t>
        </m:r>
        <m:r>
          <m:t>b</m:t>
        </m:r>
        <m:r>
          <m:t>e</m:t>
        </m:r>
        <m:r>
          <m:t>f</m:t>
        </m:r>
        <m:r>
          <m:t>o</m:t>
        </m:r>
        <m:r>
          <m:t>r</m:t>
        </m:r>
        <m:r>
          <m:t>e</m:t>
        </m:r>
        <m:r>
          <m:t>i</m:t>
        </m:r>
        <m:r>
          <m:t>n</m:t>
        </m:r>
        <m:r>
          <m:t>s</m:t>
        </m:r>
        <m:r>
          <m:t>u</m:t>
        </m:r>
        <m:r>
          <m:t>r</m:t>
        </m:r>
        <m:r>
          <m:t>a</m:t>
        </m:r>
        <m:r>
          <m:t>n</m:t>
        </m:r>
        <m:r>
          <m:t>c</m:t>
        </m:r>
        <m:r>
          <m:t>e</m:t>
        </m:r>
        <m:r>
          <m:rPr>
            <m:sty m:val="p"/>
          </m:rPr>
          <m:t>,</m:t>
        </m:r>
        <m:r>
          <m:t>h</m:t>
        </m:r>
        <m:r>
          <m:t>a</m:t>
        </m:r>
        <m:r>
          <m:t>d</m:t>
        </m:r>
        <m:r>
          <m:t>r</m:t>
        </m:r>
        <m:r>
          <m:t>e</m:t>
        </m:r>
        <m:r>
          <m:t>a</m:t>
        </m:r>
        <m:r>
          <m:t>c</m:t>
        </m:r>
        <m:r>
          <m:t>h</m:t>
        </m:r>
        <m:r>
          <m:t>e</m:t>
        </m:r>
        <m:r>
          <m:t>d</m:t>
        </m:r>
        <m:r>
          <m:t>a</m:t>
        </m:r>
        <m:r>
          <m:t>b</m:t>
        </m:r>
        <m:r>
          <m:t>o</m:t>
        </m:r>
        <m:r>
          <m:t>u</m:t>
        </m:r>
        <m:r>
          <m:t>t</m:t>
        </m:r>
        <m:r>
          <m:rPr>
            <m:sty m:val="p"/>
          </m:rPr>
          <m:t>*</m:t>
        </m:r>
        <m:r>
          <m:rPr>
            <m:sty m:val="p"/>
          </m:rPr>
          <m:t>*</m:t>
        </m:r>
      </m:oMath>
      <w:r>
        <w:rPr>
          <w:b/>
          <w:bCs/>
        </w:rPr>
        <w:t xml:space="preserve">397 million</w:t>
      </w:r>
      <w:r>
        <w:t xml:space="preserve"> </w:t>
      </w:r>
      <w:r>
        <w:t xml:space="preserve">in settlement agreements, and had</w:t>
      </w:r>
      <w:r>
        <w:t xml:space="preserve"> </w:t>
      </w:r>
      <w:r>
        <w:rPr>
          <w:b/>
          <w:bCs/>
        </w:rPr>
        <w:t xml:space="preserve">$525 million</w:t>
      </w:r>
      <w:r>
        <w:t xml:space="preserve"> </w:t>
      </w:r>
      <w:r>
        <w:t xml:space="preserve">of insurance coverage for the annual policy period. Management characterized the $460 million figure as the low end of the reasonably estimable range and noted that certain categories—including possible penalties, punitive damages and some government-related claims—remain unquantifiable.</w:t>
      </w:r>
    </w:p>
    <w:p>
      <w:pPr>
        <w:pStyle w:val="BodyText"/>
      </w:pPr>
      <w:r>
        <w:t xml:space="preserve">The immediate question is whether the company has seen new claims, reserve development, insurance-recovery changes, or operational risk during the current wildfire season. Separately, the completed Marshall Fire settlement and a 1Q insurance-recovery benefit have substantially reduced that legacy overhang.</w:t>
      </w:r>
    </w:p>
    <w:p>
      <w:r>
        <w:pict>
          <v:rect style="width:0;height:1.5pt" o:hralign="center" o:hrstd="t" o:hr="t"/>
        </w:pict>
      </w:r>
    </w:p>
    <w:bookmarkEnd w:id="16"/>
    <w:bookmarkStart w:id="17" w:name="benchmark-2q25-and-1q26"/>
    <w:p>
      <w:pPr>
        <w:pStyle w:val="Heading2"/>
      </w:pPr>
      <w:r>
        <w:t xml:space="preserve">Benchmark: 2Q25 and 1Q26</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Metric</w:t>
            </w:r>
          </w:p>
        </w:tc>
        <w:tc>
          <w:tcPr/>
          <w:p>
            <w:pPr>
              <w:pStyle w:val="Compact"/>
              <w:jc w:val="right"/>
            </w:pPr>
            <w:r>
              <w:t xml:space="preserve">2Q25 actual</w:t>
            </w:r>
          </w:p>
        </w:tc>
        <w:tc>
          <w:tcPr/>
          <w:p>
            <w:pPr>
              <w:pStyle w:val="Compact"/>
              <w:jc w:val="right"/>
            </w:pPr>
            <w:r>
              <w:t xml:space="preserve">1Q26 actual</w:t>
            </w:r>
          </w:p>
        </w:tc>
        <w:tc>
          <w:tcPr/>
          <w:p>
            <w:pPr>
              <w:pStyle w:val="Compact"/>
            </w:pPr>
            <w:r>
              <w:t xml:space="preserve">Read-through for 2Q26</w:t>
            </w:r>
          </w:p>
        </w:tc>
      </w:tr>
      <w:tr>
        <w:tc>
          <w:tcPr/>
          <w:p>
            <w:pPr>
              <w:pStyle w:val="Compact"/>
            </w:pPr>
            <w:r>
              <w:t xml:space="preserve">Ongoing EPS</w:t>
            </w:r>
          </w:p>
        </w:tc>
        <w:tc>
          <w:tcPr/>
          <w:p>
            <w:pPr>
              <w:pStyle w:val="Compact"/>
              <w:jc w:val="right"/>
            </w:pPr>
            <w:r>
              <w:rPr>
                <w:b/>
                <w:bCs/>
              </w:rPr>
              <w:t xml:space="preserve">$0.75</w:t>
            </w:r>
          </w:p>
        </w:tc>
        <w:tc>
          <w:tcPr/>
          <w:p>
            <w:pPr>
              <w:pStyle w:val="Compact"/>
              <w:jc w:val="right"/>
            </w:pPr>
            <w:r>
              <w:rPr>
                <w:b/>
                <w:bCs/>
              </w:rPr>
              <w:t xml:space="preserve">$0.91</w:t>
            </w:r>
          </w:p>
        </w:tc>
        <w:tc>
          <w:tcPr/>
          <w:p>
            <w:pPr>
              <w:pStyle w:val="Compact"/>
            </w:pPr>
            <w:r>
              <w:t xml:space="preserve">Seasonal comparisons matter; 2Q has historically been lower than 1Q.</w:t>
            </w:r>
          </w:p>
        </w:tc>
      </w:tr>
      <w:tr>
        <w:tc>
          <w:tcPr/>
          <w:p>
            <w:pPr>
              <w:pStyle w:val="Compact"/>
            </w:pPr>
            <w:r>
              <w:t xml:space="preserve">Year-over-year primary driver</w:t>
            </w:r>
          </w:p>
        </w:tc>
        <w:tc>
          <w:tcPr/>
          <w:p>
            <w:pPr>
              <w:pStyle w:val="Compact"/>
              <w:jc w:val="right"/>
            </w:pPr>
            <w:r>
              <w:t xml:space="preserve">Infrastructure recovery</w:t>
            </w:r>
          </w:p>
        </w:tc>
        <w:tc>
          <w:tcPr/>
          <w:p>
            <w:pPr>
              <w:pStyle w:val="Compact"/>
              <w:jc w:val="right"/>
            </w:pPr>
            <w:r>
              <w:t xml:space="preserve">Electric revenue/riders, sales and AFUDC</w:t>
            </w:r>
          </w:p>
        </w:tc>
        <w:tc>
          <w:tcPr/>
          <w:p>
            <w:pPr>
              <w:pStyle w:val="Compact"/>
            </w:pPr>
            <w:r>
              <w:t xml:space="preserve">Investors need continued rate recovery to exceed financing and depreciation drag.</w:t>
            </w:r>
          </w:p>
        </w:tc>
      </w:tr>
      <w:tr>
        <w:tc>
          <w:tcPr/>
          <w:p>
            <w:pPr>
              <w:pStyle w:val="Compact"/>
            </w:pPr>
            <w:r>
              <w:t xml:space="preserve">Weather impact</w:t>
            </w:r>
          </w:p>
        </w:tc>
        <w:tc>
          <w:tcPr/>
          <w:p>
            <w:pPr>
              <w:pStyle w:val="Compact"/>
              <w:jc w:val="right"/>
            </w:pPr>
            <w:r>
              <w:rPr>
                <w:b/>
                <w:bCs/>
              </w:rPr>
              <w:t xml:space="preserve">($0.017)/share</w:t>
            </w:r>
            <w:r>
              <w:t xml:space="preserve"> </w:t>
            </w:r>
            <w:r>
              <w:t xml:space="preserve">vs. normal</w:t>
            </w:r>
          </w:p>
        </w:tc>
        <w:tc>
          <w:tcPr/>
          <w:p>
            <w:pPr>
              <w:pStyle w:val="Compact"/>
              <w:jc w:val="right"/>
            </w:pPr>
            <w:r>
              <w:rPr>
                <w:b/>
                <w:bCs/>
              </w:rPr>
              <w:t xml:space="preserve">($0.089)/share</w:t>
            </w:r>
            <w:r>
              <w:t xml:space="preserve"> </w:t>
            </w:r>
            <w:r>
              <w:t xml:space="preserve">vs. normal</w:t>
            </w:r>
          </w:p>
        </w:tc>
        <w:tc>
          <w:tcPr/>
          <w:p>
            <w:pPr>
              <w:pStyle w:val="Compact"/>
            </w:pPr>
            <w:r>
              <w:t xml:space="preserve">A return to normal weather would remove a meaningful headwind from the first half.</w:t>
            </w:r>
          </w:p>
        </w:tc>
      </w:tr>
      <w:tr>
        <w:tc>
          <w:tcPr/>
          <w:p>
            <w:pPr>
              <w:pStyle w:val="Compact"/>
            </w:pPr>
            <w:r>
              <w:t xml:space="preserve">Diluted shares</w:t>
            </w:r>
          </w:p>
        </w:tc>
        <w:tc>
          <w:tcPr/>
          <w:p>
            <w:pPr>
              <w:pStyle w:val="Compact"/>
              <w:jc w:val="right"/>
            </w:pPr>
            <w:r>
              <w:t xml:space="preserve">588 million</w:t>
            </w:r>
          </w:p>
        </w:tc>
        <w:tc>
          <w:tcPr/>
          <w:p>
            <w:pPr>
              <w:pStyle w:val="Compact"/>
              <w:jc w:val="right"/>
            </w:pPr>
            <w:r>
              <w:t xml:space="preserve">626 million</w:t>
            </w:r>
          </w:p>
        </w:tc>
        <w:tc>
          <w:tcPr/>
          <w:p>
            <w:pPr>
              <w:pStyle w:val="Compact"/>
            </w:pPr>
            <w:r>
              <w:t xml:space="preserve">The higher share base makes per-share growth more demanding.</w:t>
            </w:r>
          </w:p>
        </w:tc>
      </w:tr>
    </w:tbl>
    <w:p>
      <w:r>
        <w:pict>
          <v:rect style="width:0;height:1.5pt" o:hralign="center" o:hrstd="t" o:hr="t"/>
        </w:pict>
      </w:r>
    </w:p>
    <w:bookmarkEnd w:id="17"/>
    <w:bookmarkStart w:id="20" w:name="earnings-call-checklist"/>
    <w:p>
      <w:pPr>
        <w:pStyle w:val="Heading2"/>
      </w:pPr>
      <w:r>
        <w:t xml:space="preserve">Earnings-call checklist</w:t>
      </w:r>
    </w:p>
    <w:bookmarkStart w:id="18" w:name="potential-positives"/>
    <w:p>
      <w:pPr>
        <w:pStyle w:val="Heading3"/>
      </w:pPr>
      <w:r>
        <w:t xml:space="preserve">Potential positives</w:t>
      </w:r>
    </w:p>
    <w:p>
      <w:pPr>
        <w:pStyle w:val="Compact"/>
        <w:numPr>
          <w:ilvl w:val="0"/>
          <w:numId w:val="1007"/>
        </w:numPr>
      </w:pPr>
      <w:r>
        <w:t xml:space="preserve">Reaffirmation of guidance with confidence in the</w:t>
      </w:r>
      <w:r>
        <w:t xml:space="preserve"> </w:t>
      </w:r>
      <w:r>
        <w:rPr>
          <w:b/>
          <w:bCs/>
        </w:rPr>
        <w:t xml:space="preserve">midpoint or upper half</w:t>
      </w:r>
      <w:r>
        <w:t xml:space="preserve">;</w:t>
      </w:r>
    </w:p>
    <w:p>
      <w:pPr>
        <w:pStyle w:val="Compact"/>
        <w:numPr>
          <w:ilvl w:val="0"/>
          <w:numId w:val="1007"/>
        </w:numPr>
      </w:pPr>
      <w:r>
        <w:t xml:space="preserve">Final written Minnesota electric order consistent with the June verbal decision;</w:t>
      </w:r>
    </w:p>
    <w:p>
      <w:pPr>
        <w:pStyle w:val="Compact"/>
        <w:numPr>
          <w:ilvl w:val="0"/>
          <w:numId w:val="1007"/>
        </w:numPr>
      </w:pPr>
      <w:r>
        <w:t xml:space="preserve">A constructive update on the Colorado electric proceeding;</w:t>
      </w:r>
    </w:p>
    <w:p>
      <w:pPr>
        <w:pStyle w:val="Compact"/>
        <w:numPr>
          <w:ilvl w:val="0"/>
          <w:numId w:val="1007"/>
        </w:numPr>
      </w:pPr>
      <w:r>
        <w:t xml:space="preserve">More detail on contracted data-center load or capital tied to the incremental opportunity;</w:t>
      </w:r>
    </w:p>
    <w:p>
      <w:pPr>
        <w:pStyle w:val="Compact"/>
        <w:numPr>
          <w:ilvl w:val="0"/>
          <w:numId w:val="1007"/>
        </w:numPr>
      </w:pPr>
      <w:r>
        <w:t xml:space="preserve">Continued roughly 3% weather-normalized sales growth;</w:t>
      </w:r>
    </w:p>
    <w:p>
      <w:pPr>
        <w:pStyle w:val="Compact"/>
        <w:numPr>
          <w:ilvl w:val="0"/>
          <w:numId w:val="1007"/>
        </w:numPr>
      </w:pPr>
      <w:r>
        <w:t xml:space="preserve">No adverse wildfire reserve or insurance developments;</w:t>
      </w:r>
    </w:p>
    <w:p>
      <w:pPr>
        <w:pStyle w:val="Compact"/>
        <w:numPr>
          <w:ilvl w:val="0"/>
          <w:numId w:val="1007"/>
        </w:numPr>
      </w:pPr>
      <w:r>
        <w:t xml:space="preserve">Evidence that 2026 capital deployment remains on schedule and on budget.</w:t>
      </w:r>
    </w:p>
    <w:bookmarkEnd w:id="18"/>
    <w:bookmarkStart w:id="19" w:name="potential-negatives"/>
    <w:p>
      <w:pPr>
        <w:pStyle w:val="Heading3"/>
      </w:pPr>
      <w:r>
        <w:t xml:space="preserve">Potential negatives</w:t>
      </w:r>
    </w:p>
    <w:p>
      <w:pPr>
        <w:pStyle w:val="Compact"/>
        <w:numPr>
          <w:ilvl w:val="0"/>
          <w:numId w:val="1008"/>
        </w:numPr>
      </w:pPr>
      <w:r>
        <w:t xml:space="preserve">Guidance maintained but accompanied by more caution around weather, sales or regulatory timing;</w:t>
      </w:r>
    </w:p>
    <w:p>
      <w:pPr>
        <w:pStyle w:val="Compact"/>
        <w:numPr>
          <w:ilvl w:val="0"/>
          <w:numId w:val="1008"/>
        </w:numPr>
      </w:pPr>
      <w:r>
        <w:t xml:space="preserve">Weakness in C&amp;I demand or lower-than-expected summer load;</w:t>
      </w:r>
    </w:p>
    <w:p>
      <w:pPr>
        <w:pStyle w:val="Compact"/>
        <w:numPr>
          <w:ilvl w:val="0"/>
          <w:numId w:val="1008"/>
        </w:numPr>
      </w:pPr>
      <w:r>
        <w:t xml:space="preserve">Higher-than-planned interest expense, depreciation or dilution;</w:t>
      </w:r>
    </w:p>
    <w:p>
      <w:pPr>
        <w:pStyle w:val="Compact"/>
        <w:numPr>
          <w:ilvl w:val="0"/>
          <w:numId w:val="1008"/>
        </w:numPr>
      </w:pPr>
      <w:r>
        <w:t xml:space="preserve">Regulatory settlements that prove less constructive than expected or face material opposition;</w:t>
      </w:r>
    </w:p>
    <w:p>
      <w:pPr>
        <w:pStyle w:val="Compact"/>
        <w:numPr>
          <w:ilvl w:val="0"/>
          <w:numId w:val="1008"/>
        </w:numPr>
      </w:pPr>
      <w:r>
        <w:t xml:space="preserve">Incremental wildfire claims, charges, or insurance-recovery uncertainty;</w:t>
      </w:r>
    </w:p>
    <w:p>
      <w:pPr>
        <w:pStyle w:val="Compact"/>
        <w:numPr>
          <w:ilvl w:val="0"/>
          <w:numId w:val="1008"/>
        </w:numPr>
      </w:pPr>
      <w:r>
        <w:t xml:space="preserve">Large-load announcements without identifiable regulatory approvals, customer protections, or capital conversion.</w:t>
      </w:r>
    </w:p>
    <w:p>
      <w:r>
        <w:pict>
          <v:rect style="width:0;height:1.5pt" o:hralign="center" o:hrstd="t" o:hr="t"/>
        </w:pict>
      </w:r>
    </w:p>
    <w:bookmarkEnd w:id="19"/>
    <w:bookmarkEnd w:id="20"/>
    <w:bookmarkStart w:id="22" w:name="investment-framing"/>
    <w:p>
      <w:pPr>
        <w:pStyle w:val="Heading2"/>
      </w:pPr>
      <w:r>
        <w:t xml:space="preserve">Investment framing</w:t>
      </w:r>
    </w:p>
    <w:p>
      <w:pPr>
        <w:pStyle w:val="FirstParagraph"/>
      </w:pPr>
      <w:r>
        <w:rPr>
          <w:b/>
          <w:bCs/>
        </w:rPr>
        <w:t xml:space="preserve">The bull case:</w:t>
      </w:r>
      <w:r>
        <w:t xml:space="preserve"> </w:t>
      </w:r>
      <w:r>
        <w:t xml:space="preserve">Xcel is transitioning from a traditional steady-growth utility into a company with unusually visible long-term capital needs. Rate-base investment, data-center demand, transmission, clean generation and storage could support management’s target of</w:t>
      </w:r>
      <w:r>
        <w:t xml:space="preserve"> </w:t>
      </w:r>
      <w:r>
        <w:rPr>
          <w:b/>
          <w:bCs/>
        </w:rPr>
        <w:t xml:space="preserve">6%–8%+ long-term EPS growth</w:t>
      </w:r>
      <w:r>
        <w:t xml:space="preserve"> </w:t>
      </w:r>
      <w:r>
        <w:t xml:space="preserve">and its stated expectation of approximately</w:t>
      </w:r>
      <w:r>
        <w:t xml:space="preserve"> </w:t>
      </w:r>
      <w:r>
        <w:rPr>
          <w:b/>
          <w:bCs/>
        </w:rPr>
        <w:t xml:space="preserve">9% average EPS growth through 2030</w:t>
      </w:r>
      <w:r>
        <w:t xml:space="preserve">. The recent rate-case decisions and settlements suggest that the regulatory foundation is becoming more supportive.</w:t>
      </w:r>
    </w:p>
    <w:p>
      <w:pPr>
        <w:pStyle w:val="BodyText"/>
      </w:pPr>
      <w:r>
        <w:rPr>
          <w:b/>
          <w:bCs/>
        </w:rPr>
        <w:t xml:space="preserve">The bear case:</w:t>
      </w:r>
      <w:r>
        <w:t xml:space="preserve"> </w:t>
      </w:r>
      <w:r>
        <w:t xml:space="preserve">The growth opportunity is capital intensive. Equity issuance, debt costs and depreciation can consume a material portion of the earnings benefit before new projects enter rate base. Meanwhile, wildfire liabilities, regulatory scrutiny of customer affordability, and execution complexity increase the risk profile relative to a conventional utility growth plan.</w:t>
      </w:r>
    </w:p>
    <w:p>
      <w:pPr>
        <w:pStyle w:val="BodyText"/>
      </w:pPr>
      <w:r>
        <w:rPr>
          <w:b/>
          <w:bCs/>
        </w:rPr>
        <w:t xml:space="preserve">Near-term conclusion:</w:t>
      </w:r>
      <w:r>
        <w:t xml:space="preserve"> </w:t>
      </w:r>
      <w:r>
        <w:t xml:space="preserve">The 2Q report should principally test whether the</w:t>
      </w:r>
      <w:r>
        <w:t xml:space="preserve"> </w:t>
      </w:r>
      <w:r>
        <w:rPr>
          <w:b/>
          <w:bCs/>
        </w:rPr>
        <w:t xml:space="preserve">improved regulatory picture and underlying sales/capital-investment momentum are sufficient to keep 2026 guidance intact despite financing pressure</w:t>
      </w:r>
      <w:r>
        <w:t xml:space="preserve">. A solid quarter with steady guidance may be adequate; a more meaningful catalyst would be tangible progress converting the data-center pipeline into approved, customer-protected, company-owned infrastructure investment.</w:t>
      </w:r>
    </w:p>
    <w:p>
      <w:r>
        <w:pict>
          <v:rect style="width:0;height:1.5pt" o:hralign="center" o:hrstd="t" o:hr="t"/>
        </w:pict>
      </w:r>
    </w:p>
    <w:bookmarkStart w:id="21" w:name="sources-reviewed"/>
    <w:p>
      <w:pPr>
        <w:pStyle w:val="Heading3"/>
      </w:pPr>
      <w:r>
        <w:t xml:space="preserve">Sources reviewed</w:t>
      </w:r>
    </w:p>
    <w:p>
      <w:pPr>
        <w:pStyle w:val="Compact"/>
        <w:numPr>
          <w:ilvl w:val="0"/>
          <w:numId w:val="1009"/>
        </w:numPr>
      </w:pPr>
      <w:r>
        <w:t xml:space="preserve">Xcel Energy 1Q26 earnings release and conference-call transcript, April 30, 2026.</w:t>
      </w:r>
    </w:p>
    <w:p>
      <w:pPr>
        <w:pStyle w:val="Compact"/>
        <w:numPr>
          <w:ilvl w:val="0"/>
          <w:numId w:val="1009"/>
        </w:numPr>
      </w:pPr>
      <w:r>
        <w:t xml:space="preserve">Xcel Energy 2Q25 earnings release, July 30, 2025.</w:t>
      </w:r>
    </w:p>
    <w:p>
      <w:pPr>
        <w:pStyle w:val="Compact"/>
        <w:numPr>
          <w:ilvl w:val="0"/>
          <w:numId w:val="1009"/>
        </w:numPr>
      </w:pPr>
      <w:r>
        <w:t xml:space="preserve">Xcel Energy Form 8-K updates on Minnesota electric and gas proceedings, New Mexico electric settlement, and Colorado gas settlement, dated May–July 2026.</w:t>
      </w:r>
    </w:p>
    <w:bookmarkEnd w:id="21"/>
    <w:bookmarkEnd w:id="22"/>
    <w:bookmarkEnd w:id="2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2026-07-29T18:42:48Z</dcterms:created>
  <dcterms:modified xsi:type="dcterms:W3CDTF">2026-07-29T18:42:48Z</dcterms:modified>
</cp:coreProperties>
</file>

<file path=docProps/custom.xml><?xml version="1.0" encoding="utf-8"?>
<Properties xmlns="http://schemas.openxmlformats.org/officeDocument/2006/custom-properties" xmlns:vt="http://schemas.openxmlformats.org/officeDocument/2006/docPropsVTypes"/>
</file>