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xel-earnings-predictions--2026-07-30"/>
    <w:p>
      <w:pPr>
        <w:pStyle w:val="Heading1"/>
      </w:pPr>
      <w:r>
        <w:t xml:space="preserve">XEL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Operating EPS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~$0.81 vs. cons $0.797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Weather-Adj. Electric Sales Growth (Q2 2026)</w:t>
            </w:r>
          </w:p>
        </w:tc>
        <w:tc>
          <w:tcPr/>
          <w:p>
            <w:pPr>
              <w:pStyle w:val="Compact"/>
            </w:pPr>
            <w:r>
              <w:t xml:space="preserve">IN-LINE</w:t>
            </w:r>
          </w:p>
        </w:tc>
        <w:tc>
          <w:tcPr/>
          <w:p>
            <w:pPr>
              <w:pStyle w:val="Compact"/>
            </w:pPr>
            <w:r>
              <w:t xml:space="preserve">pred ~+2.8% vs. guide +3.0%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Gross Margin (Q2 2026)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~$2.47B vs. cons $2.438B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FY 2026 Ongoing EPS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reaffirm</w:t>
            </w:r>
            <w:r>
              <w:t xml:space="preserve"> </w:t>
            </w:r>
            <m:oMath>
              <m:r>
                <m:t>4.04</m:t>
              </m:r>
              <m:r>
                <m:rPr>
                  <m:sty m:val="p"/>
                </m:rPr>
                <m:t>−</m:t>
              </m:r>
            </m:oMath>
            <w:r>
              <w:t xml:space="preserve">4.16 (mid $4.10) vs. cons $4.120</w:t>
            </w:r>
          </w:p>
        </w:tc>
        <w:tc>
          <w:tcPr/>
          <w:p>
            <w:pPr>
              <w:pStyle w:val="Compact"/>
            </w:pPr>
            <w:r>
              <w:t xml:space="preserve">HIGH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Data Center Pipeline (FY 2026)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on-track for 3 GW by year-end, no new ESA announced vs. street expecting progress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XEL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+1.0% (STABILIZE)</w:t>
            </w:r>
          </w:p>
        </w:tc>
        <w:tc>
          <w:tcPr/>
          <w:p>
            <w:pPr>
              <w:pStyle w:val="Compact"/>
            </w:pPr>
            <w:r>
              <w:t xml:space="preserve">STABILIZE — short covering supports Day-1 gain; mild H2 implicit cut limits follow-through; no FY raise to drive estimate upgrades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2026-08-01T02:01:57Z</dcterms:created>
  <dcterms:modified xsi:type="dcterms:W3CDTF">2026-08-01T02:01:57Z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