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Bdr>
          <w:bottom w:val="single" w:sz="4" w:space="1" w:color="FB9120"/>
        </w:pBdr>
      </w:pPr>
      <w:r>
        <w:rPr>
          <w:rFonts w:ascii="Calibri" w:hAnsi="Calibri"/>
          <w:b/>
          <w:color w:val="3B4259"/>
          <w:sz w:val="40"/>
        </w:rPr>
        <w:t>Xcel Energy (XEL) — Q2 2026 Earnings Preview</w:t>
      </w:r>
    </w:p>
    <w:p>
      <w:r>
        <w:rPr>
          <w:rFonts w:ascii="Calibri" w:hAnsi="Calibri"/>
          <w:b/>
          <w:color w:val="525866"/>
          <w:sz w:val="22"/>
        </w:rPr>
        <w:t xml:space="preserve">Company: </w:t>
      </w:r>
      <w:r>
        <w:rPr>
          <w:rFonts w:ascii="Calibri" w:hAnsi="Calibri"/>
          <w:color w:val="525866"/>
          <w:sz w:val="22"/>
        </w:rPr>
        <w:t xml:space="preserve">Xcel Energy Inc. (NASDAQ: XEL)  </w:t>
      </w:r>
      <w:r>
        <w:rPr>
          <w:rFonts w:ascii="Calibri" w:hAnsi="Calibri"/>
          <w:b/>
          <w:color w:val="525866"/>
          <w:sz w:val="22"/>
        </w:rPr>
        <w:t xml:space="preserve">  |  Upcoming Earnings: </w:t>
      </w:r>
      <w:r>
        <w:rPr>
          <w:rFonts w:ascii="Calibri" w:hAnsi="Calibri"/>
          <w:color w:val="525866"/>
          <w:sz w:val="22"/>
        </w:rPr>
        <w:t xml:space="preserve">Q2 2026 — July 30, 2026 (Before Market Open)  </w:t>
      </w:r>
      <w:r>
        <w:rPr>
          <w:rFonts w:ascii="Calibri" w:hAnsi="Calibri"/>
          <w:b/>
          <w:color w:val="525866"/>
          <w:sz w:val="22"/>
        </w:rPr>
        <w:t xml:space="preserve">  |  Prepared: </w:t>
      </w:r>
      <w:r>
        <w:rPr>
          <w:rFonts w:ascii="Calibri" w:hAnsi="Calibri"/>
          <w:color w:val="525866"/>
          <w:sz w:val="22"/>
        </w:rPr>
        <w:t>July 29, 2026</w:t>
      </w:r>
    </w:p>
    <w:p>
      <w:pPr>
        <w:pStyle w:val="Heading2"/>
      </w:pPr>
      <w:r>
        <w:rPr>
          <w:rFonts w:ascii="Calibri" w:hAnsi="Calibri"/>
          <w:b/>
          <w:color w:val="3B4259"/>
          <w:sz w:val="28"/>
        </w:rPr>
        <w:t>1. Earnings Preview</w:t>
      </w:r>
    </w:p>
    <w:p>
      <w:r>
        <w:rPr>
          <w:rFonts w:ascii="Calibri" w:hAnsi="Calibri"/>
          <w:b/>
          <w:color w:val="525866"/>
          <w:sz w:val="22"/>
        </w:rPr>
        <w:t xml:space="preserve">Key Takeaway: </w:t>
      </w:r>
      <w:r>
        <w:rPr>
          <w:rFonts w:ascii="Calibri" w:hAnsi="Calibri"/>
          <w:color w:val="525866"/>
          <w:sz w:val="22"/>
        </w:rPr>
        <w:t xml:space="preserve">The setup into Q2 is a </w:t>
      </w:r>
      <w:r>
        <w:rPr>
          <w:rFonts w:ascii="Calibri" w:hAnsi="Calibri"/>
          <w:b/>
          <w:color w:val="525866"/>
          <w:sz w:val="22"/>
        </w:rPr>
        <w:t>manageable bar</w:t>
      </w:r>
      <w:r>
        <w:rPr>
          <w:rFonts w:ascii="Calibri" w:hAnsi="Calibri"/>
          <w:color w:val="525866"/>
          <w:sz w:val="22"/>
        </w:rPr>
        <w:t xml:space="preserve"> — consensus Operating EPS of ~$0.80 implies a modest YoY decline vs. Q2 2025's $0.75 (weather-aided) comp, and the bigger swing factor is </w:t>
      </w:r>
      <w:r>
        <w:rPr>
          <w:rFonts w:ascii="Calibri" w:hAnsi="Calibri"/>
          <w:b/>
          <w:color w:val="525866"/>
          <w:sz w:val="22"/>
        </w:rPr>
        <w:t>rate case revenue recognition and weather-adjusted electric sales growth</w:t>
      </w:r>
      <w:r>
        <w:rPr>
          <w:rFonts w:ascii="Calibri" w:hAnsi="Calibri"/>
          <w:color w:val="525866"/>
          <w:sz w:val="22"/>
        </w:rPr>
        <w:t xml:space="preserve"> rather than EPS itself.</w:t>
      </w:r>
    </w:p>
    <w:p>
      <w:r>
        <w:rPr>
          <w:rFonts w:ascii="Calibri" w:hAnsi="Calibri"/>
          <w:color w:val="525866"/>
          <w:sz w:val="22"/>
        </w:rPr>
        <w:t xml:space="preserve">Heading into Q2 2026 earnings, XEL faces a </w:t>
      </w:r>
      <w:r>
        <w:rPr>
          <w:rFonts w:ascii="Calibri" w:hAnsi="Calibri"/>
          <w:b/>
          <w:color w:val="525866"/>
          <w:sz w:val="22"/>
        </w:rPr>
        <w:t>low-to-moderate bar</w:t>
      </w:r>
      <w:r>
        <w:rPr>
          <w:rFonts w:ascii="Calibri" w:hAnsi="Calibri"/>
          <w:color w:val="525866"/>
          <w:sz w:val="22"/>
        </w:rPr>
        <w:t xml:space="preserve"> on Operating EPS (consensus ~$0.80, per Visible Alpha), with the quarter's outcome hinging primarily on the pace of </w:t>
      </w:r>
      <w:r>
        <w:rPr>
          <w:rFonts w:ascii="Calibri" w:hAnsi="Calibri"/>
          <w:b/>
          <w:color w:val="525866"/>
          <w:sz w:val="22"/>
        </w:rPr>
        <w:t>rate case revenue recognition</w:t>
      </w:r>
      <w:r>
        <w:rPr>
          <w:rFonts w:ascii="Calibri" w:hAnsi="Calibri"/>
          <w:color w:val="525866"/>
          <w:sz w:val="22"/>
        </w:rPr>
        <w:t xml:space="preserve"> — particularly the Minnesota electric order (verbal decision June 18, final written order expected July 31) and the Colorado electric settlement (hearings June 2026, decision expected Q3) — and on </w:t>
      </w:r>
      <w:r>
        <w:rPr>
          <w:rFonts w:ascii="Calibri" w:hAnsi="Calibri"/>
          <w:b/>
          <w:color w:val="525866"/>
          <w:sz w:val="22"/>
        </w:rPr>
        <w:t>weather-adjusted electric sales growth</w:t>
      </w:r>
      <w:r>
        <w:rPr>
          <w:rFonts w:ascii="Calibri" w:hAnsi="Calibri"/>
          <w:color w:val="525866"/>
          <w:sz w:val="22"/>
        </w:rPr>
        <w:t xml:space="preserve">, which came in at +2.8% in Q1 and management guides to +3% for the full year. Management's tone has been consistently confident: 2026 EPS guidance of $4.04–$4.16 was reaffirmed twice via 8-K (June 22 and June 22 NM settlement), and the company has addressed over half of its $7B five-year equity need. Estimate revisions have been broadly stable since the Q1 print, with the as-of May 5 consensus for Q2 at $0.82 vs. current ~$0.80, a modest drift lower that likely reflects weather normalization assumptions rather than fundamental deterioration. The stock has underperformed both XLU (–4.1%) and SPY (+1.5%) since the April 30 earnings date, declining ~5%, suggesting the market has not priced in a beat and the stock setup is </w:t>
      </w:r>
      <w:r>
        <w:rPr>
          <w:rFonts w:ascii="Calibri" w:hAnsi="Calibri"/>
          <w:b/>
          <w:color w:val="525866"/>
          <w:sz w:val="22"/>
        </w:rPr>
        <w:t>not stretched</w:t>
      </w:r>
      <w:r>
        <w:rPr>
          <w:rFonts w:ascii="Calibri" w:hAnsi="Calibri"/>
          <w:color w:val="525866"/>
          <w:sz w:val="22"/>
        </w:rPr>
        <w:t xml:space="preserve">. The key wildcard is the </w:t>
      </w:r>
      <w:r>
        <w:rPr>
          <w:rFonts w:ascii="Calibri" w:hAnsi="Calibri"/>
          <w:b/>
          <w:color w:val="525866"/>
          <w:sz w:val="22"/>
        </w:rPr>
        <w:t>Colorado electric rate case final decision</w:t>
      </w:r>
      <w:r>
        <w:rPr>
          <w:rFonts w:ascii="Calibri" w:hAnsi="Calibri"/>
          <w:color w:val="525866"/>
          <w:sz w:val="22"/>
        </w:rPr>
        <w:t xml:space="preserve"> — originally expected Q3 2026 — and any update on the pace of data center ESA signings toward the 3 GW year-end 2026 target, which could meaningfully re-rate the stock if management signals acceleration.</w:t>
      </w:r>
    </w:p>
    <w:p>
      <w:pPr>
        <w:pStyle w:val="Heading2"/>
      </w:pPr>
      <w:r>
        <w:rPr>
          <w:rFonts w:ascii="Calibri" w:hAnsi="Calibri"/>
          <w:b/>
          <w:color w:val="3B4259"/>
          <w:sz w:val="28"/>
        </w:rPr>
        <w:t>2. KPIs &amp; Consensus Expectations</w:t>
      </w:r>
    </w:p>
    <w:p>
      <w:r>
        <w:rPr>
          <w:rFonts w:ascii="Calibri" w:hAnsi="Calibri"/>
          <w:b/>
          <w:color w:val="525866"/>
          <w:sz w:val="22"/>
        </w:rPr>
        <w:t xml:space="preserve">Key Takeaway: </w:t>
      </w:r>
      <w:r>
        <w:rPr>
          <w:rFonts w:ascii="Calibri" w:hAnsi="Calibri"/>
          <w:color w:val="525866"/>
          <w:sz w:val="22"/>
        </w:rPr>
        <w:t xml:space="preserve">Consensus sets a </w:t>
      </w:r>
      <w:r>
        <w:rPr>
          <w:rFonts w:ascii="Calibri" w:hAnsi="Calibri"/>
          <w:b/>
          <w:color w:val="525866"/>
          <w:sz w:val="22"/>
        </w:rPr>
        <w:t>low-to-moderate bar</w:t>
      </w:r>
      <w:r>
        <w:rPr>
          <w:rFonts w:ascii="Calibri" w:hAnsi="Calibri"/>
          <w:color w:val="525866"/>
          <w:sz w:val="22"/>
        </w:rPr>
        <w:t xml:space="preserve"> on Operating EPS (~$0.80 vs. $0.75 prior year), while </w:t>
      </w:r>
      <w:r>
        <w:rPr>
          <w:rFonts w:ascii="Calibri" w:hAnsi="Calibri"/>
          <w:b/>
          <w:color w:val="525866"/>
          <w:sz w:val="22"/>
        </w:rPr>
        <w:t>weather-adjusted electric sales growth</w:t>
      </w:r>
      <w:r>
        <w:rPr>
          <w:rFonts w:ascii="Calibri" w:hAnsi="Calibri"/>
          <w:color w:val="525866"/>
          <w:sz w:val="22"/>
        </w:rPr>
        <w:t xml:space="preserve"> is the bigger swing factor — any upside vs. the +3% full-year guide would be the most positive read-through for the long-term data center thesis.</w:t>
      </w:r>
    </w:p>
    <w:p>
      <w:pPr>
        <w:pStyle w:val="Heading3"/>
      </w:pPr>
      <w:r>
        <w:rPr>
          <w:rFonts w:ascii="Calibri" w:hAnsi="Calibri"/>
          <w:b/>
          <w:color w:val="3B4259"/>
          <w:sz w:val="24"/>
        </w:rPr>
        <w:t>Table 1 — Current Quarter Snapshot (Q2 2026)</w:t>
      </w:r>
    </w:p>
    <w:tbl>
      <w:tblPr>
        <w:tblStyle w:val="TableGrid"/>
        <w:tblW w:type="auto" w:w="0"/>
        <w:tblLook w:firstColumn="1" w:firstRow="1" w:lastColumn="0" w:lastRow="0" w:noHBand="0" w:noVBand="1" w:val="04A0"/>
      </w:tblPr>
      <w:tblGrid>
        <w:gridCol w:w="1234"/>
        <w:gridCol w:w="1234"/>
        <w:gridCol w:w="1234"/>
        <w:gridCol w:w="1234"/>
        <w:gridCol w:w="1234"/>
        <w:gridCol w:w="1234"/>
        <w:gridCol w:w="1234"/>
      </w:tblGrid>
      <w:tr>
        <w:tc>
          <w:tcPr>
            <w:tcW w:type="dxa" w:w="1234"/>
          </w:tcPr>
          <w:p>
            <w:r>
              <w:rPr>
                <w:rFonts w:ascii="Calibri" w:hAnsi="Calibri"/>
                <w:b/>
                <w:sz w:val="22"/>
              </w:rPr>
              <w:t>KPI</w:t>
            </w:r>
          </w:p>
        </w:tc>
        <w:tc>
          <w:tcPr>
            <w:tcW w:type="dxa" w:w="1234"/>
          </w:tcPr>
          <w:p>
            <w:r>
              <w:rPr>
                <w:rFonts w:ascii="Calibri" w:hAnsi="Calibri"/>
                <w:b/>
                <w:sz w:val="22"/>
              </w:rPr>
              <w:t>Last Quarter Actual (Q1 2026)</w:t>
            </w:r>
          </w:p>
        </w:tc>
        <w:tc>
          <w:tcPr>
            <w:tcW w:type="dxa" w:w="1234"/>
          </w:tcPr>
          <w:p>
            <w:r>
              <w:rPr>
                <w:rFonts w:ascii="Calibri" w:hAnsi="Calibri"/>
                <w:b/>
                <w:sz w:val="22"/>
              </w:rPr>
              <w:t>Prior Year Period (Q2 2025 Actual)</w:t>
            </w:r>
          </w:p>
        </w:tc>
        <w:tc>
          <w:tcPr>
            <w:tcW w:type="dxa" w:w="1234"/>
          </w:tcPr>
          <w:p>
            <w:r>
              <w:rPr>
                <w:rFonts w:ascii="Calibri" w:hAnsi="Calibri"/>
                <w:b/>
                <w:sz w:val="22"/>
              </w:rPr>
              <w:t>Q2 2026 Consensus Estimate</w:t>
            </w:r>
          </w:p>
        </w:tc>
        <w:tc>
          <w:tcPr>
            <w:tcW w:type="dxa" w:w="1234"/>
          </w:tcPr>
          <w:p>
            <w:r>
              <w:rPr>
                <w:rFonts w:ascii="Calibri" w:hAnsi="Calibri"/>
                <w:b/>
                <w:sz w:val="22"/>
              </w:rPr>
              <w:t>YoY Change</w:t>
            </w:r>
          </w:p>
        </w:tc>
        <w:tc>
          <w:tcPr>
            <w:tcW w:type="dxa" w:w="1234"/>
          </w:tcPr>
          <w:p>
            <w:r>
              <w:rPr>
                <w:rFonts w:ascii="Calibri" w:hAnsi="Calibri"/>
                <w:b/>
                <w:sz w:val="22"/>
              </w:rPr>
              <w:t>2026 Guidance</w:t>
            </w:r>
          </w:p>
        </w:tc>
        <w:tc>
          <w:tcPr>
            <w:tcW w:type="dxa" w:w="1234"/>
          </w:tcPr>
          <w:p>
            <w:r>
              <w:rPr>
                <w:rFonts w:ascii="Calibri" w:hAnsi="Calibri"/>
                <w:b/>
                <w:sz w:val="22"/>
              </w:rPr>
              <w:t>Consensus vs. Guidance</w:t>
            </w:r>
          </w:p>
        </w:tc>
      </w:tr>
      <w:tr>
        <w:tc>
          <w:tcPr>
            <w:tcW w:type="dxa" w:w="1234"/>
          </w:tcPr>
          <w:p>
            <w:r>
              <w:rPr>
                <w:rFonts w:ascii="Calibri" w:hAnsi="Calibri"/>
                <w:sz w:val="22"/>
              </w:rPr>
              <w:t>Operating EPS (Diluted)</w:t>
            </w:r>
          </w:p>
        </w:tc>
        <w:tc>
          <w:tcPr>
            <w:tcW w:type="dxa" w:w="1234"/>
          </w:tcPr>
          <w:p>
            <w:r>
              <w:rPr>
                <w:rFonts w:ascii="Calibri" w:hAnsi="Calibri"/>
                <w:sz w:val="22"/>
              </w:rPr>
              <w:t>$0.91</w:t>
            </w:r>
          </w:p>
        </w:tc>
        <w:tc>
          <w:tcPr>
            <w:tcW w:type="dxa" w:w="1234"/>
          </w:tcPr>
          <w:p>
            <w:r>
              <w:rPr>
                <w:rFonts w:ascii="Calibri" w:hAnsi="Calibri"/>
                <w:sz w:val="22"/>
              </w:rPr>
              <w:t>$0.75</w:t>
            </w:r>
          </w:p>
        </w:tc>
        <w:tc>
          <w:tcPr>
            <w:tcW w:type="dxa" w:w="1234"/>
          </w:tcPr>
          <w:p>
            <w:r>
              <w:rPr>
                <w:rFonts w:ascii="Calibri" w:hAnsi="Calibri"/>
                <w:sz w:val="22"/>
              </w:rPr>
              <w:t>$0.80</w:t>
            </w:r>
          </w:p>
        </w:tc>
        <w:tc>
          <w:tcPr>
            <w:tcW w:type="dxa" w:w="1234"/>
          </w:tcPr>
          <w:p>
            <w:r>
              <w:rPr>
                <w:rFonts w:ascii="Calibri" w:hAnsi="Calibri"/>
                <w:sz w:val="22"/>
              </w:rPr>
              <w:t>+6.7%</w:t>
            </w:r>
          </w:p>
        </w:tc>
        <w:tc>
          <w:tcPr>
            <w:tcW w:type="dxa" w:w="1234"/>
          </w:tcPr>
          <w:p>
            <w:r>
              <w:rPr>
                <w:rFonts w:ascii="Calibri" w:hAnsi="Calibri"/>
                <w:sz w:val="22"/>
              </w:rPr>
              <w:t>$4.04–$4.16 (FY)</w:t>
            </w:r>
          </w:p>
        </w:tc>
        <w:tc>
          <w:tcPr>
            <w:tcW w:type="dxa" w:w="1234"/>
          </w:tcPr>
          <w:p>
            <w:r>
              <w:rPr>
                <w:rFonts w:ascii="Calibri" w:hAnsi="Calibri"/>
                <w:sz w:val="22"/>
              </w:rPr>
              <w:t>~−19% below FY midpoint run-rate (seasonal)</w:t>
            </w:r>
          </w:p>
        </w:tc>
      </w:tr>
      <w:tr>
        <w:tc>
          <w:tcPr>
            <w:tcW w:type="dxa" w:w="1234"/>
          </w:tcPr>
          <w:p>
            <w:r>
              <w:rPr>
                <w:rFonts w:ascii="Calibri" w:hAnsi="Calibri"/>
                <w:sz w:val="22"/>
              </w:rPr>
              <w:t>Total Operating Revenues</w:t>
            </w:r>
          </w:p>
        </w:tc>
        <w:tc>
          <w:tcPr>
            <w:tcW w:type="dxa" w:w="1234"/>
          </w:tcPr>
          <w:p>
            <w:r>
              <w:rPr>
                <w:rFonts w:ascii="Calibri" w:hAnsi="Calibri"/>
                <w:sz w:val="22"/>
              </w:rPr>
              <w:t>$4.02B</w:t>
            </w:r>
          </w:p>
        </w:tc>
        <w:tc>
          <w:tcPr>
            <w:tcW w:type="dxa" w:w="1234"/>
          </w:tcPr>
          <w:p>
            <w:r>
              <w:rPr>
                <w:rFonts w:ascii="Calibri" w:hAnsi="Calibri"/>
                <w:sz w:val="22"/>
              </w:rPr>
              <w:t>$3.29B</w:t>
            </w:r>
          </w:p>
        </w:tc>
        <w:tc>
          <w:tcPr>
            <w:tcW w:type="dxa" w:w="1234"/>
          </w:tcPr>
          <w:p>
            <w:r>
              <w:rPr>
                <w:rFonts w:ascii="Calibri" w:hAnsi="Calibri"/>
                <w:sz w:val="22"/>
              </w:rPr>
              <w:t>$3.53B</w:t>
            </w:r>
          </w:p>
        </w:tc>
        <w:tc>
          <w:tcPr>
            <w:tcW w:type="dxa" w:w="1234"/>
          </w:tcPr>
          <w:p>
            <w:r>
              <w:rPr>
                <w:rFonts w:ascii="Calibri" w:hAnsi="Calibri"/>
                <w:sz w:val="22"/>
              </w:rPr>
              <w:t>+7.3%</w:t>
            </w:r>
          </w:p>
        </w:tc>
        <w:tc>
          <w:tcPr>
            <w:tcW w:type="dxa" w:w="1234"/>
          </w:tcPr>
          <w:p>
            <w:r>
              <w:rPr>
                <w:rFonts w:ascii="Calibri" w:hAnsi="Calibri"/>
                <w:sz w:val="22"/>
              </w:rPr>
              <w:t>N/A (no quarterly revenue guide)</w:t>
            </w:r>
          </w:p>
        </w:tc>
        <w:tc>
          <w:tcPr>
            <w:tcW w:type="dxa" w:w="1234"/>
          </w:tcPr>
          <w:p>
            <w:r>
              <w:rPr>
                <w:rFonts w:ascii="Calibri" w:hAnsi="Calibri"/>
                <w:sz w:val="22"/>
              </w:rPr>
              <w:t>N/A</w:t>
            </w:r>
          </w:p>
        </w:tc>
      </w:tr>
      <w:tr>
        <w:tc>
          <w:tcPr>
            <w:tcW w:type="dxa" w:w="1234"/>
          </w:tcPr>
          <w:p>
            <w:r>
              <w:rPr>
                <w:rFonts w:ascii="Calibri" w:hAnsi="Calibri"/>
                <w:sz w:val="22"/>
              </w:rPr>
              <w:t>Utility Capital Construction</w:t>
            </w:r>
          </w:p>
        </w:tc>
        <w:tc>
          <w:tcPr>
            <w:tcW w:type="dxa" w:w="1234"/>
          </w:tcPr>
          <w:p>
            <w:r>
              <w:rPr>
                <w:rFonts w:ascii="Calibri" w:hAnsi="Calibri"/>
                <w:sz w:val="22"/>
              </w:rPr>
              <w:t>$3.02B</w:t>
            </w:r>
          </w:p>
        </w:tc>
        <w:tc>
          <w:tcPr>
            <w:tcW w:type="dxa" w:w="1234"/>
          </w:tcPr>
          <w:p>
            <w:r>
              <w:rPr>
                <w:rFonts w:ascii="Calibri" w:hAnsi="Calibri"/>
                <w:sz w:val="22"/>
              </w:rPr>
              <w:t>$2.43B</w:t>
            </w:r>
          </w:p>
        </w:tc>
        <w:tc>
          <w:tcPr>
            <w:tcW w:type="dxa" w:w="1234"/>
          </w:tcPr>
          <w:p>
            <w:r>
              <w:rPr>
                <w:rFonts w:ascii="Calibri" w:hAnsi="Calibri"/>
                <w:sz w:val="22"/>
              </w:rPr>
              <w:t>$3.53B</w:t>
            </w:r>
          </w:p>
        </w:tc>
        <w:tc>
          <w:tcPr>
            <w:tcW w:type="dxa" w:w="1234"/>
          </w:tcPr>
          <w:p>
            <w:r>
              <w:rPr>
                <w:rFonts w:ascii="Calibri" w:hAnsi="Calibri"/>
                <w:sz w:val="22"/>
              </w:rPr>
              <w:t>+45.3%</w:t>
            </w:r>
          </w:p>
        </w:tc>
        <w:tc>
          <w:tcPr>
            <w:tcW w:type="dxa" w:w="1234"/>
          </w:tcPr>
          <w:p>
            <w:r>
              <w:rPr>
                <w:rFonts w:ascii="Calibri" w:hAnsi="Calibri"/>
                <w:sz w:val="22"/>
              </w:rPr>
              <w:t>$14B (FY 2026)</w:t>
            </w:r>
          </w:p>
        </w:tc>
        <w:tc>
          <w:tcPr>
            <w:tcW w:type="dxa" w:w="1234"/>
          </w:tcPr>
          <w:p>
            <w:r>
              <w:rPr>
                <w:rFonts w:ascii="Calibri" w:hAnsi="Calibri"/>
                <w:sz w:val="22"/>
              </w:rPr>
              <w:t>On track (Q2 est. ~25% of FY)</w:t>
            </w:r>
          </w:p>
        </w:tc>
      </w:tr>
      <w:tr>
        <w:tc>
          <w:tcPr>
            <w:tcW w:type="dxa" w:w="1234"/>
          </w:tcPr>
          <w:p>
            <w:r>
              <w:rPr>
                <w:rFonts w:ascii="Calibri" w:hAnsi="Calibri"/>
                <w:sz w:val="22"/>
              </w:rPr>
              <w:t>Gross Profit</w:t>
            </w:r>
          </w:p>
        </w:tc>
        <w:tc>
          <w:tcPr>
            <w:tcW w:type="dxa" w:w="1234"/>
          </w:tcPr>
          <w:p>
            <w:r>
              <w:rPr>
                <w:rFonts w:ascii="Calibri" w:hAnsi="Calibri"/>
                <w:sz w:val="22"/>
              </w:rPr>
              <w:t>$2.48B</w:t>
            </w:r>
          </w:p>
        </w:tc>
        <w:tc>
          <w:tcPr>
            <w:tcW w:type="dxa" w:w="1234"/>
          </w:tcPr>
          <w:p>
            <w:r>
              <w:rPr>
                <w:rFonts w:ascii="Calibri" w:hAnsi="Calibri"/>
                <w:sz w:val="22"/>
              </w:rPr>
              <w:t>$2.23B</w:t>
            </w:r>
          </w:p>
        </w:tc>
        <w:tc>
          <w:tcPr>
            <w:tcW w:type="dxa" w:w="1234"/>
          </w:tcPr>
          <w:p>
            <w:r>
              <w:rPr>
                <w:rFonts w:ascii="Calibri" w:hAnsi="Calibri"/>
                <w:sz w:val="22"/>
              </w:rPr>
              <w:t>$2.44B</w:t>
            </w:r>
          </w:p>
        </w:tc>
        <w:tc>
          <w:tcPr>
            <w:tcW w:type="dxa" w:w="1234"/>
          </w:tcPr>
          <w:p>
            <w:r>
              <w:rPr>
                <w:rFonts w:ascii="Calibri" w:hAnsi="Calibri"/>
                <w:sz w:val="22"/>
              </w:rPr>
              <w:t>+9.4%</w:t>
            </w:r>
          </w:p>
        </w:tc>
        <w:tc>
          <w:tcPr>
            <w:tcW w:type="dxa" w:w="1234"/>
          </w:tcPr>
          <w:p>
            <w:r>
              <w:rPr>
                <w:rFonts w:ascii="Calibri" w:hAnsi="Calibri"/>
                <w:sz w:val="22"/>
              </w:rPr>
              <w:t>N/A</w:t>
            </w:r>
          </w:p>
        </w:tc>
        <w:tc>
          <w:tcPr>
            <w:tcW w:type="dxa" w:w="1234"/>
          </w:tcPr>
          <w:p>
            <w:r>
              <w:rPr>
                <w:rFonts w:ascii="Calibri" w:hAnsi="Calibri"/>
                <w:sz w:val="22"/>
              </w:rPr>
              <w:t>N/A</w:t>
            </w:r>
          </w:p>
        </w:tc>
      </w:tr>
      <w:tr>
        <w:tc>
          <w:tcPr>
            <w:tcW w:type="dxa" w:w="1234"/>
          </w:tcPr>
          <w:p>
            <w:r>
              <w:rPr>
                <w:rFonts w:ascii="Calibri" w:hAnsi="Calibri"/>
                <w:sz w:val="22"/>
              </w:rPr>
              <w:t>Wthr-Adj. Electric Sales Growth</w:t>
            </w:r>
          </w:p>
        </w:tc>
        <w:tc>
          <w:tcPr>
            <w:tcW w:type="dxa" w:w="1234"/>
          </w:tcPr>
          <w:p>
            <w:r>
              <w:rPr>
                <w:rFonts w:ascii="Calibri" w:hAnsi="Calibri"/>
                <w:sz w:val="22"/>
              </w:rPr>
              <w:t>+2.8% (Q1 2026)</w:t>
            </w:r>
          </w:p>
        </w:tc>
        <w:tc>
          <w:tcPr>
            <w:tcW w:type="dxa" w:w="1234"/>
          </w:tcPr>
          <w:p>
            <w:r>
              <w:rPr>
                <w:rFonts w:ascii="Calibri" w:hAnsi="Calibri"/>
                <w:sz w:val="22"/>
              </w:rPr>
              <w:t>N/A — not in VA</w:t>
            </w:r>
          </w:p>
        </w:tc>
        <w:tc>
          <w:tcPr>
            <w:tcW w:type="dxa" w:w="1234"/>
          </w:tcPr>
          <w:p>
            <w:r>
              <w:rPr>
                <w:rFonts w:ascii="Calibri" w:hAnsi="Calibri"/>
                <w:sz w:val="22"/>
              </w:rPr>
              <w:t>N/A — not in VA</w:t>
            </w:r>
          </w:p>
        </w:tc>
        <w:tc>
          <w:tcPr>
            <w:tcW w:type="dxa" w:w="1234"/>
          </w:tcPr>
          <w:p>
            <w:r>
              <w:rPr>
                <w:rFonts w:ascii="Calibri" w:hAnsi="Calibri"/>
                <w:sz w:val="22"/>
              </w:rPr>
              <w:t>N/A</w:t>
            </w:r>
          </w:p>
        </w:tc>
        <w:tc>
          <w:tcPr>
            <w:tcW w:type="dxa" w:w="1234"/>
          </w:tcPr>
          <w:p>
            <w:r>
              <w:rPr>
                <w:rFonts w:ascii="Calibri" w:hAnsi="Calibri"/>
                <w:sz w:val="22"/>
              </w:rPr>
              <w:t>+3% (FY 2026 guide)</w:t>
            </w:r>
          </w:p>
        </w:tc>
        <w:tc>
          <w:tcPr>
            <w:tcW w:type="dxa" w:w="1234"/>
          </w:tcPr>
          <w:p>
            <w:r>
              <w:rPr>
                <w:rFonts w:ascii="Calibri" w:hAnsi="Calibri"/>
                <w:sz w:val="22"/>
              </w:rPr>
              <w:t>N/A</w:t>
            </w:r>
          </w:p>
        </w:tc>
      </w:tr>
    </w:tbl>
    <w:p>
      <w:r>
        <w:rPr>
          <w:rFonts w:ascii="Calibri" w:hAnsi="Calibri"/>
          <w:i/>
          <w:color w:val="525866"/>
          <w:sz w:val="22"/>
        </w:rPr>
        <w:t>Sources: Visible Alpha Consensus and Actuals Data; XEL Q1 2026 Earnings Call Transcript (April 30, 2026). Operating EPS is EPS – Diluted – Operating($). Revenue and CapEx from Visible Alpha. Q2 2025 Operating EPS actual: $0.75 (VA). Q2 2026 consensus Operating EPS: $0.80 (VA, as of July 29, 2026).</w:t>
      </w:r>
    </w:p>
    <w:p>
      <w:pPr>
        <w:pStyle w:val="Heading3"/>
      </w:pPr>
      <w:r>
        <w:rPr>
          <w:rFonts w:ascii="Calibri" w:hAnsi="Calibri"/>
          <w:b/>
          <w:color w:val="3B4259"/>
          <w:sz w:val="24"/>
        </w:rPr>
        <w:t>Table 2 — Beat/Miss History (Last 8 Quarters, Operating EPS)</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rPr>
                <w:rFonts w:ascii="Calibri" w:hAnsi="Calibri"/>
                <w:b/>
                <w:sz w:val="22"/>
              </w:rPr>
              <w:t>Quarter</w:t>
            </w:r>
          </w:p>
        </w:tc>
        <w:tc>
          <w:tcPr>
            <w:tcW w:type="dxa" w:w="1728"/>
          </w:tcPr>
          <w:p>
            <w:r>
              <w:rPr>
                <w:rFonts w:ascii="Calibri" w:hAnsi="Calibri"/>
                <w:b/>
                <w:sz w:val="22"/>
              </w:rPr>
              <w:t>Reported EPS</w:t>
            </w:r>
          </w:p>
        </w:tc>
        <w:tc>
          <w:tcPr>
            <w:tcW w:type="dxa" w:w="1728"/>
          </w:tcPr>
          <w:p>
            <w:r>
              <w:rPr>
                <w:rFonts w:ascii="Calibri" w:hAnsi="Calibri"/>
                <w:b/>
                <w:sz w:val="22"/>
              </w:rPr>
              <w:t>Consensus</w:t>
            </w:r>
          </w:p>
        </w:tc>
        <w:tc>
          <w:tcPr>
            <w:tcW w:type="dxa" w:w="1728"/>
          </w:tcPr>
          <w:p>
            <w:r>
              <w:rPr>
                <w:rFonts w:ascii="Calibri" w:hAnsi="Calibri"/>
                <w:b/>
                <w:sz w:val="22"/>
              </w:rPr>
              <w:t>Surprise %</w:t>
            </w:r>
          </w:p>
        </w:tc>
        <w:tc>
          <w:tcPr>
            <w:tcW w:type="dxa" w:w="1728"/>
          </w:tcPr>
          <w:p>
            <w:r>
              <w:rPr>
                <w:rFonts w:ascii="Calibri" w:hAnsi="Calibri"/>
                <w:b/>
                <w:sz w:val="22"/>
              </w:rPr>
              <w:t>Result</w:t>
            </w:r>
          </w:p>
        </w:tc>
      </w:tr>
      <w:tr>
        <w:tc>
          <w:tcPr>
            <w:tcW w:type="dxa" w:w="1728"/>
          </w:tcPr>
          <w:p>
            <w:r>
              <w:rPr>
                <w:rFonts w:ascii="Calibri" w:hAnsi="Calibri"/>
                <w:sz w:val="22"/>
              </w:rPr>
              <w:t>Q1 2026</w:t>
            </w:r>
          </w:p>
        </w:tc>
        <w:tc>
          <w:tcPr>
            <w:tcW w:type="dxa" w:w="1728"/>
          </w:tcPr>
          <w:p>
            <w:r>
              <w:rPr>
                <w:rFonts w:ascii="Calibri" w:hAnsi="Calibri"/>
                <w:sz w:val="22"/>
              </w:rPr>
              <w:t>$0.91</w:t>
            </w:r>
          </w:p>
        </w:tc>
        <w:tc>
          <w:tcPr>
            <w:tcW w:type="dxa" w:w="1728"/>
          </w:tcPr>
          <w:p>
            <w:r>
              <w:rPr>
                <w:rFonts w:ascii="Calibri" w:hAnsi="Calibri"/>
                <w:sz w:val="22"/>
              </w:rPr>
              <w:t>$0.90</w:t>
            </w:r>
          </w:p>
        </w:tc>
        <w:tc>
          <w:tcPr>
            <w:tcW w:type="dxa" w:w="1728"/>
          </w:tcPr>
          <w:p>
            <w:r>
              <w:rPr>
                <w:rFonts w:ascii="Calibri" w:hAnsi="Calibri"/>
                <w:sz w:val="22"/>
              </w:rPr>
              <w:t>+1.1%</w:t>
            </w:r>
          </w:p>
        </w:tc>
        <w:tc>
          <w:tcPr>
            <w:tcW w:type="dxa" w:w="1728"/>
          </w:tcPr>
          <w:p>
            <w:r>
              <w:rPr>
                <w:rFonts w:ascii="Calibri" w:hAnsi="Calibri"/>
                <w:b/>
                <w:color w:val="30A46C"/>
                <w:sz w:val="22"/>
              </w:rPr>
              <w:t>In-Line / Slight Beat</w:t>
            </w:r>
          </w:p>
        </w:tc>
      </w:tr>
      <w:tr>
        <w:tc>
          <w:tcPr>
            <w:tcW w:type="dxa" w:w="1728"/>
          </w:tcPr>
          <w:p>
            <w:r>
              <w:rPr>
                <w:rFonts w:ascii="Calibri" w:hAnsi="Calibri"/>
                <w:sz w:val="22"/>
              </w:rPr>
              <w:t>Q4 2025</w:t>
            </w:r>
          </w:p>
        </w:tc>
        <w:tc>
          <w:tcPr>
            <w:tcW w:type="dxa" w:w="1728"/>
          </w:tcPr>
          <w:p>
            <w:r>
              <w:rPr>
                <w:rFonts w:ascii="Calibri" w:hAnsi="Calibri"/>
                <w:sz w:val="22"/>
              </w:rPr>
              <w:t>$0.96</w:t>
            </w:r>
          </w:p>
        </w:tc>
        <w:tc>
          <w:tcPr>
            <w:tcW w:type="dxa" w:w="1728"/>
          </w:tcPr>
          <w:p>
            <w:r>
              <w:rPr>
                <w:rFonts w:ascii="Calibri" w:hAnsi="Calibri"/>
                <w:sz w:val="22"/>
              </w:rPr>
              <w:t>$0.95</w:t>
            </w:r>
          </w:p>
        </w:tc>
        <w:tc>
          <w:tcPr>
            <w:tcW w:type="dxa" w:w="1728"/>
          </w:tcPr>
          <w:p>
            <w:r>
              <w:rPr>
                <w:rFonts w:ascii="Calibri" w:hAnsi="Calibri"/>
                <w:sz w:val="22"/>
              </w:rPr>
              <w:t>+1.1%</w:t>
            </w:r>
          </w:p>
        </w:tc>
        <w:tc>
          <w:tcPr>
            <w:tcW w:type="dxa" w:w="1728"/>
          </w:tcPr>
          <w:p>
            <w:r>
              <w:rPr>
                <w:rFonts w:ascii="Calibri" w:hAnsi="Calibri"/>
                <w:b/>
                <w:color w:val="30A46C"/>
                <w:sz w:val="22"/>
              </w:rPr>
              <w:t>In-Line / Slight Beat</w:t>
            </w:r>
          </w:p>
        </w:tc>
      </w:tr>
      <w:tr>
        <w:tc>
          <w:tcPr>
            <w:tcW w:type="dxa" w:w="1728"/>
          </w:tcPr>
          <w:p>
            <w:r>
              <w:rPr>
                <w:rFonts w:ascii="Calibri" w:hAnsi="Calibri"/>
                <w:sz w:val="22"/>
              </w:rPr>
              <w:t>Q3 2025</w:t>
            </w:r>
          </w:p>
        </w:tc>
        <w:tc>
          <w:tcPr>
            <w:tcW w:type="dxa" w:w="1728"/>
          </w:tcPr>
          <w:p>
            <w:r>
              <w:rPr>
                <w:rFonts w:ascii="Calibri" w:hAnsi="Calibri"/>
                <w:sz w:val="22"/>
              </w:rPr>
              <w:t>$1.24</w:t>
            </w:r>
          </w:p>
        </w:tc>
        <w:tc>
          <w:tcPr>
            <w:tcW w:type="dxa" w:w="1728"/>
          </w:tcPr>
          <w:p>
            <w:r>
              <w:rPr>
                <w:rFonts w:ascii="Calibri" w:hAnsi="Calibri"/>
                <w:sz w:val="22"/>
              </w:rPr>
              <w:t>$1.32</w:t>
            </w:r>
          </w:p>
        </w:tc>
        <w:tc>
          <w:tcPr>
            <w:tcW w:type="dxa" w:w="1728"/>
          </w:tcPr>
          <w:p>
            <w:r>
              <w:rPr>
                <w:rFonts w:ascii="Calibri" w:hAnsi="Calibri"/>
                <w:sz w:val="22"/>
              </w:rPr>
              <w:t>−6.1%</w:t>
            </w:r>
          </w:p>
        </w:tc>
        <w:tc>
          <w:tcPr>
            <w:tcW w:type="dxa" w:w="1728"/>
          </w:tcPr>
          <w:p>
            <w:r>
              <w:rPr>
                <w:rFonts w:ascii="Calibri" w:hAnsi="Calibri"/>
                <w:b/>
                <w:color w:val="E5484D"/>
                <w:sz w:val="22"/>
              </w:rPr>
              <w:t>Miss</w:t>
            </w:r>
          </w:p>
        </w:tc>
      </w:tr>
      <w:tr>
        <w:tc>
          <w:tcPr>
            <w:tcW w:type="dxa" w:w="1728"/>
          </w:tcPr>
          <w:p>
            <w:r>
              <w:rPr>
                <w:rFonts w:ascii="Calibri" w:hAnsi="Calibri"/>
                <w:sz w:val="22"/>
              </w:rPr>
              <w:t>Q2 2025</w:t>
            </w:r>
          </w:p>
        </w:tc>
        <w:tc>
          <w:tcPr>
            <w:tcW w:type="dxa" w:w="1728"/>
          </w:tcPr>
          <w:p>
            <w:r>
              <w:rPr>
                <w:rFonts w:ascii="Calibri" w:hAnsi="Calibri"/>
                <w:sz w:val="22"/>
              </w:rPr>
              <w:t>$0.75</w:t>
            </w:r>
          </w:p>
        </w:tc>
        <w:tc>
          <w:tcPr>
            <w:tcW w:type="dxa" w:w="1728"/>
          </w:tcPr>
          <w:p>
            <w:r>
              <w:rPr>
                <w:rFonts w:ascii="Calibri" w:hAnsi="Calibri"/>
                <w:sz w:val="22"/>
              </w:rPr>
              <w:t>$0.66</w:t>
            </w:r>
          </w:p>
        </w:tc>
        <w:tc>
          <w:tcPr>
            <w:tcW w:type="dxa" w:w="1728"/>
          </w:tcPr>
          <w:p>
            <w:r>
              <w:rPr>
                <w:rFonts w:ascii="Calibri" w:hAnsi="Calibri"/>
                <w:sz w:val="22"/>
              </w:rPr>
              <w:t>+13.6%</w:t>
            </w:r>
          </w:p>
        </w:tc>
        <w:tc>
          <w:tcPr>
            <w:tcW w:type="dxa" w:w="1728"/>
          </w:tcPr>
          <w:p>
            <w:r>
              <w:rPr>
                <w:rFonts w:ascii="Calibri" w:hAnsi="Calibri"/>
                <w:b/>
                <w:color w:val="30A46C"/>
                <w:sz w:val="22"/>
              </w:rPr>
              <w:t>Beat</w:t>
            </w:r>
          </w:p>
        </w:tc>
      </w:tr>
      <w:tr>
        <w:tc>
          <w:tcPr>
            <w:tcW w:type="dxa" w:w="1728"/>
          </w:tcPr>
          <w:p>
            <w:r>
              <w:rPr>
                <w:rFonts w:ascii="Calibri" w:hAnsi="Calibri"/>
                <w:sz w:val="22"/>
              </w:rPr>
              <w:t>Q1 2025</w:t>
            </w:r>
          </w:p>
        </w:tc>
        <w:tc>
          <w:tcPr>
            <w:tcW w:type="dxa" w:w="1728"/>
          </w:tcPr>
          <w:p>
            <w:r>
              <w:rPr>
                <w:rFonts w:ascii="Calibri" w:hAnsi="Calibri"/>
                <w:sz w:val="22"/>
              </w:rPr>
              <w:t>$0.84</w:t>
            </w:r>
          </w:p>
        </w:tc>
        <w:tc>
          <w:tcPr>
            <w:tcW w:type="dxa" w:w="1728"/>
          </w:tcPr>
          <w:p>
            <w:r>
              <w:rPr>
                <w:rFonts w:ascii="Calibri" w:hAnsi="Calibri"/>
                <w:sz w:val="22"/>
              </w:rPr>
              <w:t>$0.93</w:t>
            </w:r>
          </w:p>
        </w:tc>
        <w:tc>
          <w:tcPr>
            <w:tcW w:type="dxa" w:w="1728"/>
          </w:tcPr>
          <w:p>
            <w:r>
              <w:rPr>
                <w:rFonts w:ascii="Calibri" w:hAnsi="Calibri"/>
                <w:sz w:val="22"/>
              </w:rPr>
              <w:t>−9.7%</w:t>
            </w:r>
          </w:p>
        </w:tc>
        <w:tc>
          <w:tcPr>
            <w:tcW w:type="dxa" w:w="1728"/>
          </w:tcPr>
          <w:p>
            <w:r>
              <w:rPr>
                <w:rFonts w:ascii="Calibri" w:hAnsi="Calibri"/>
                <w:b/>
                <w:color w:val="E5484D"/>
                <w:sz w:val="22"/>
              </w:rPr>
              <w:t>Miss</w:t>
            </w:r>
          </w:p>
        </w:tc>
      </w:tr>
      <w:tr>
        <w:tc>
          <w:tcPr>
            <w:tcW w:type="dxa" w:w="1728"/>
          </w:tcPr>
          <w:p>
            <w:r>
              <w:rPr>
                <w:rFonts w:ascii="Calibri" w:hAnsi="Calibri"/>
                <w:sz w:val="22"/>
              </w:rPr>
              <w:t>Q4 2024</w:t>
            </w:r>
          </w:p>
        </w:tc>
        <w:tc>
          <w:tcPr>
            <w:tcW w:type="dxa" w:w="1728"/>
          </w:tcPr>
          <w:p>
            <w:r>
              <w:rPr>
                <w:rFonts w:ascii="Calibri" w:hAnsi="Calibri"/>
                <w:sz w:val="22"/>
              </w:rPr>
              <w:t>$0.81</w:t>
            </w:r>
          </w:p>
        </w:tc>
        <w:tc>
          <w:tcPr>
            <w:tcW w:type="dxa" w:w="1728"/>
          </w:tcPr>
          <w:p>
            <w:r>
              <w:rPr>
                <w:rFonts w:ascii="Calibri" w:hAnsi="Calibri"/>
                <w:sz w:val="22"/>
              </w:rPr>
              <w:t>$0.87</w:t>
            </w:r>
          </w:p>
        </w:tc>
        <w:tc>
          <w:tcPr>
            <w:tcW w:type="dxa" w:w="1728"/>
          </w:tcPr>
          <w:p>
            <w:r>
              <w:rPr>
                <w:rFonts w:ascii="Calibri" w:hAnsi="Calibri"/>
                <w:sz w:val="22"/>
              </w:rPr>
              <w:t>−6.9%</w:t>
            </w:r>
          </w:p>
        </w:tc>
        <w:tc>
          <w:tcPr>
            <w:tcW w:type="dxa" w:w="1728"/>
          </w:tcPr>
          <w:p>
            <w:r>
              <w:rPr>
                <w:rFonts w:ascii="Calibri" w:hAnsi="Calibri"/>
                <w:b/>
                <w:color w:val="E5484D"/>
                <w:sz w:val="22"/>
              </w:rPr>
              <w:t>Miss</w:t>
            </w:r>
          </w:p>
        </w:tc>
      </w:tr>
      <w:tr>
        <w:tc>
          <w:tcPr>
            <w:tcW w:type="dxa" w:w="1728"/>
          </w:tcPr>
          <w:p>
            <w:r>
              <w:rPr>
                <w:rFonts w:ascii="Calibri" w:hAnsi="Calibri"/>
                <w:sz w:val="22"/>
              </w:rPr>
              <w:t>Q3 2024</w:t>
            </w:r>
          </w:p>
        </w:tc>
        <w:tc>
          <w:tcPr>
            <w:tcW w:type="dxa" w:w="1728"/>
          </w:tcPr>
          <w:p>
            <w:r>
              <w:rPr>
                <w:rFonts w:ascii="Calibri" w:hAnsi="Calibri"/>
                <w:sz w:val="22"/>
              </w:rPr>
              <w:t>$1.25</w:t>
            </w:r>
          </w:p>
        </w:tc>
        <w:tc>
          <w:tcPr>
            <w:tcW w:type="dxa" w:w="1728"/>
          </w:tcPr>
          <w:p>
            <w:r>
              <w:rPr>
                <w:rFonts w:ascii="Calibri" w:hAnsi="Calibri"/>
                <w:sz w:val="22"/>
              </w:rPr>
              <w:t>$1.29</w:t>
            </w:r>
          </w:p>
        </w:tc>
        <w:tc>
          <w:tcPr>
            <w:tcW w:type="dxa" w:w="1728"/>
          </w:tcPr>
          <w:p>
            <w:r>
              <w:rPr>
                <w:rFonts w:ascii="Calibri" w:hAnsi="Calibri"/>
                <w:sz w:val="22"/>
              </w:rPr>
              <w:t>−3.1%</w:t>
            </w:r>
          </w:p>
        </w:tc>
        <w:tc>
          <w:tcPr>
            <w:tcW w:type="dxa" w:w="1728"/>
          </w:tcPr>
          <w:p>
            <w:r>
              <w:rPr>
                <w:rFonts w:ascii="Calibri" w:hAnsi="Calibri"/>
                <w:b/>
                <w:color w:val="E5484D"/>
                <w:sz w:val="22"/>
              </w:rPr>
              <w:t>Miss</w:t>
            </w:r>
          </w:p>
        </w:tc>
      </w:tr>
      <w:tr>
        <w:tc>
          <w:tcPr>
            <w:tcW w:type="dxa" w:w="1728"/>
          </w:tcPr>
          <w:p>
            <w:r>
              <w:rPr>
                <w:rFonts w:ascii="Calibri" w:hAnsi="Calibri"/>
                <w:sz w:val="22"/>
              </w:rPr>
              <w:t>Q2 2024</w:t>
            </w:r>
          </w:p>
        </w:tc>
        <w:tc>
          <w:tcPr>
            <w:tcW w:type="dxa" w:w="1728"/>
          </w:tcPr>
          <w:p>
            <w:r>
              <w:rPr>
                <w:rFonts w:ascii="Calibri" w:hAnsi="Calibri"/>
                <w:sz w:val="22"/>
              </w:rPr>
              <w:t>$0.54</w:t>
            </w:r>
          </w:p>
        </w:tc>
        <w:tc>
          <w:tcPr>
            <w:tcW w:type="dxa" w:w="1728"/>
          </w:tcPr>
          <w:p>
            <w:r>
              <w:rPr>
                <w:rFonts w:ascii="Calibri" w:hAnsi="Calibri"/>
                <w:sz w:val="22"/>
              </w:rPr>
              <w:t>$0.54</w:t>
            </w:r>
          </w:p>
        </w:tc>
        <w:tc>
          <w:tcPr>
            <w:tcW w:type="dxa" w:w="1728"/>
          </w:tcPr>
          <w:p>
            <w:r>
              <w:rPr>
                <w:rFonts w:ascii="Calibri" w:hAnsi="Calibri"/>
                <w:sz w:val="22"/>
              </w:rPr>
              <w:t>0.0%</w:t>
            </w:r>
          </w:p>
        </w:tc>
        <w:tc>
          <w:tcPr>
            <w:tcW w:type="dxa" w:w="1728"/>
          </w:tcPr>
          <w:p>
            <w:r>
              <w:rPr>
                <w:rFonts w:ascii="Calibri" w:hAnsi="Calibri"/>
                <w:sz w:val="22"/>
              </w:rPr>
              <w:t>In-Line</w:t>
            </w:r>
          </w:p>
        </w:tc>
      </w:tr>
    </w:tbl>
    <w:p>
      <w:r>
        <w:rPr>
          <w:rFonts w:ascii="Calibri" w:hAnsi="Calibri"/>
          <w:b/>
          <w:color w:val="525866"/>
          <w:sz w:val="22"/>
        </w:rPr>
        <w:t xml:space="preserve">Pattern: </w:t>
      </w:r>
      <w:r>
        <w:rPr>
          <w:rFonts w:ascii="Calibri" w:hAnsi="Calibri"/>
          <w:i/>
          <w:color w:val="525866"/>
          <w:sz w:val="22"/>
        </w:rPr>
        <w:t>XEL has a mixed beat/miss history over the last 8 quarters — 5 misses or in-lines vs. 3 beats — with the Q2 2025 beat (+13.6%) driven by favorable weather; the Q3 2025 miss reflected weather normalization. The bar for Q2 2026 at ~$0.80 appears achievable given rate case tailwinds, but weather remains the key swing variable. Source: Visible Alpha Consensus and Actuals Data.</w:t>
      </w:r>
    </w:p>
    <w:p>
      <w:r>
        <w:br w:type="page"/>
      </w:r>
    </w:p>
    <w:p>
      <w:pPr>
        <w:pStyle w:val="Heading2"/>
      </w:pPr>
      <w:r>
        <w:rPr>
          <w:rFonts w:ascii="Calibri" w:hAnsi="Calibri"/>
          <w:b/>
          <w:color w:val="3B4259"/>
          <w:sz w:val="28"/>
        </w:rPr>
        <w:t>3. Guidance &amp; Commentary Evolution</w:t>
      </w:r>
    </w:p>
    <w:p>
      <w:r>
        <w:rPr>
          <w:rFonts w:ascii="Calibri" w:hAnsi="Calibri"/>
          <w:b/>
          <w:color w:val="525866"/>
          <w:sz w:val="22"/>
        </w:rPr>
        <w:t xml:space="preserve">Key Takeaway: </w:t>
      </w:r>
      <w:r>
        <w:rPr>
          <w:rFonts w:ascii="Calibri" w:hAnsi="Calibri"/>
          <w:color w:val="525866"/>
          <w:sz w:val="22"/>
        </w:rPr>
        <w:t xml:space="preserve">Guidance has been </w:t>
      </w:r>
      <w:r>
        <w:rPr>
          <w:rFonts w:ascii="Calibri" w:hAnsi="Calibri"/>
          <w:b/>
          <w:color w:val="525866"/>
          <w:sz w:val="22"/>
        </w:rPr>
        <w:t>unchanged and repeatedly reaffirmed</w:t>
      </w:r>
      <w:r>
        <w:rPr>
          <w:rFonts w:ascii="Calibri" w:hAnsi="Calibri"/>
          <w:color w:val="525866"/>
          <w:sz w:val="22"/>
        </w:rPr>
        <w:t xml:space="preserve"> since the Q1 2026 earnings call — the 2026 EPS range of $4.04–$4.16 was confirmed via 8-K on June 22 (twice) — while tone has shifted </w:t>
      </w:r>
      <w:r>
        <w:rPr>
          <w:rFonts w:ascii="Calibri" w:hAnsi="Calibri"/>
          <w:b/>
          <w:color w:val="525866"/>
          <w:sz w:val="22"/>
        </w:rPr>
        <w:t>more constructive</w:t>
      </w:r>
      <w:r>
        <w:rPr>
          <w:rFonts w:ascii="Calibri" w:hAnsi="Calibri"/>
          <w:color w:val="525866"/>
          <w:sz w:val="22"/>
        </w:rPr>
        <w:t xml:space="preserve"> on rate cases following the Minnesota verbal decision and Colorado settlement.</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rPr>
                <w:rFonts w:ascii="Calibri" w:hAnsi="Calibri"/>
                <w:b/>
                <w:sz w:val="22"/>
              </w:rPr>
              <w:t>Metric</w:t>
            </w:r>
          </w:p>
        </w:tc>
        <w:tc>
          <w:tcPr>
            <w:tcW w:type="dxa" w:w="1728"/>
          </w:tcPr>
          <w:p>
            <w:r>
              <w:rPr>
                <w:rFonts w:ascii="Calibri" w:hAnsi="Calibri"/>
                <w:b/>
                <w:sz w:val="22"/>
              </w:rPr>
              <w:t>Initial Guidance (Q1 2026 Earnings Call, Apr 30)</w:t>
            </w:r>
          </w:p>
        </w:tc>
        <w:tc>
          <w:tcPr>
            <w:tcW w:type="dxa" w:w="1728"/>
          </w:tcPr>
          <w:p>
            <w:r>
              <w:rPr>
                <w:rFonts w:ascii="Calibri" w:hAnsi="Calibri"/>
                <w:b/>
                <w:sz w:val="22"/>
              </w:rPr>
              <w:t>Revised Guidance</w:t>
            </w:r>
          </w:p>
        </w:tc>
        <w:tc>
          <w:tcPr>
            <w:tcW w:type="dxa" w:w="1728"/>
          </w:tcPr>
          <w:p>
            <w:r>
              <w:rPr>
                <w:rFonts w:ascii="Calibri" w:hAnsi="Calibri"/>
                <w:b/>
                <w:sz w:val="22"/>
              </w:rPr>
              <w:t>Current Consensus</w:t>
            </w:r>
          </w:p>
        </w:tc>
        <w:tc>
          <w:tcPr>
            <w:tcW w:type="dxa" w:w="1728"/>
          </w:tcPr>
          <w:p>
            <w:r>
              <w:rPr>
                <w:rFonts w:ascii="Calibri" w:hAnsi="Calibri"/>
                <w:b/>
                <w:sz w:val="22"/>
              </w:rPr>
              <w:t>Note</w:t>
            </w:r>
          </w:p>
        </w:tc>
      </w:tr>
      <w:tr>
        <w:tc>
          <w:tcPr>
            <w:tcW w:type="dxa" w:w="1728"/>
          </w:tcPr>
          <w:p>
            <w:r>
              <w:rPr>
                <w:rFonts w:ascii="Calibri" w:hAnsi="Calibri"/>
                <w:sz w:val="22"/>
              </w:rPr>
              <w:t>2026 Operating EPS</w:t>
            </w:r>
          </w:p>
        </w:tc>
        <w:tc>
          <w:tcPr>
            <w:tcW w:type="dxa" w:w="1728"/>
          </w:tcPr>
          <w:p>
            <w:r>
              <w:rPr>
                <w:rFonts w:ascii="Calibri" w:hAnsi="Calibri"/>
                <w:sz w:val="22"/>
              </w:rPr>
              <w:t>$4.04–$4.16</w:t>
            </w:r>
          </w:p>
        </w:tc>
        <w:tc>
          <w:tcPr>
            <w:tcW w:type="dxa" w:w="1728"/>
          </w:tcPr>
          <w:p>
            <w:r>
              <w:rPr>
                <w:rFonts w:ascii="Calibri" w:hAnsi="Calibri"/>
                <w:sz w:val="22"/>
              </w:rPr>
              <w:t>—</w:t>
            </w:r>
          </w:p>
        </w:tc>
        <w:tc>
          <w:tcPr>
            <w:tcW w:type="dxa" w:w="1728"/>
          </w:tcPr>
          <w:p>
            <w:r>
              <w:rPr>
                <w:rFonts w:ascii="Calibri" w:hAnsi="Calibri"/>
                <w:sz w:val="22"/>
              </w:rPr>
              <w:t>$4.12</w:t>
            </w:r>
          </w:p>
        </w:tc>
        <w:tc>
          <w:tcPr>
            <w:tcW w:type="dxa" w:w="1728"/>
          </w:tcPr>
          <w:p>
            <w:r>
              <w:rPr>
                <w:rFonts w:ascii="Calibri" w:hAnsi="Calibri"/>
                <w:sz w:val="22"/>
              </w:rPr>
              <w:t>Reaffirmed via 8-K Jun 22, 2026 (MN rate case &amp; NM settlement); guidance unchanged; consensus sits at midpoint</w:t>
            </w:r>
          </w:p>
        </w:tc>
      </w:tr>
      <w:tr>
        <w:tc>
          <w:tcPr>
            <w:tcW w:type="dxa" w:w="1728"/>
          </w:tcPr>
          <w:p>
            <w:r>
              <w:rPr>
                <w:rFonts w:ascii="Calibri" w:hAnsi="Calibri"/>
                <w:sz w:val="22"/>
              </w:rPr>
              <w:t>LT EPS Growth</w:t>
            </w:r>
          </w:p>
        </w:tc>
        <w:tc>
          <w:tcPr>
            <w:tcW w:type="dxa" w:w="1728"/>
          </w:tcPr>
          <w:p>
            <w:r>
              <w:rPr>
                <w:rFonts w:ascii="Calibri" w:hAnsi="Calibri"/>
                <w:sz w:val="22"/>
              </w:rPr>
              <w:t>6%–8%+ long-term; 9% avg through 2030</w:t>
            </w:r>
          </w:p>
        </w:tc>
        <w:tc>
          <w:tcPr>
            <w:tcW w:type="dxa" w:w="1728"/>
          </w:tcPr>
          <w:p>
            <w:r>
              <w:rPr>
                <w:rFonts w:ascii="Calibri" w:hAnsi="Calibri"/>
                <w:sz w:val="22"/>
              </w:rPr>
              <w:t>—</w:t>
            </w:r>
          </w:p>
        </w:tc>
        <w:tc>
          <w:tcPr>
            <w:tcW w:type="dxa" w:w="1728"/>
          </w:tcPr>
          <w:p>
            <w:r>
              <w:rPr>
                <w:rFonts w:ascii="Calibri" w:hAnsi="Calibri"/>
                <w:sz w:val="22"/>
              </w:rPr>
              <w:t>N/A</w:t>
            </w:r>
          </w:p>
        </w:tc>
        <w:tc>
          <w:tcPr>
            <w:tcW w:type="dxa" w:w="1728"/>
          </w:tcPr>
          <w:p>
            <w:r>
              <w:rPr>
                <w:rFonts w:ascii="Calibri" w:hAnsi="Calibri"/>
                <w:sz w:val="22"/>
              </w:rPr>
              <w:t>Unchanged; management expects upper half of range with avg above range through 2030</w:t>
            </w:r>
          </w:p>
        </w:tc>
      </w:tr>
      <w:tr>
        <w:tc>
          <w:tcPr>
            <w:tcW w:type="dxa" w:w="1728"/>
          </w:tcPr>
          <w:p>
            <w:r>
              <w:rPr>
                <w:rFonts w:ascii="Calibri" w:hAnsi="Calibri"/>
                <w:sz w:val="22"/>
              </w:rPr>
              <w:t>Wthr-Adj. Electric Sales Growth (FY 2026)</w:t>
            </w:r>
          </w:p>
        </w:tc>
        <w:tc>
          <w:tcPr>
            <w:tcW w:type="dxa" w:w="1728"/>
          </w:tcPr>
          <w:p>
            <w:r>
              <w:rPr>
                <w:rFonts w:ascii="Calibri" w:hAnsi="Calibri"/>
                <w:sz w:val="22"/>
              </w:rPr>
              <w:t>+3%</w:t>
            </w:r>
          </w:p>
        </w:tc>
        <w:tc>
          <w:tcPr>
            <w:tcW w:type="dxa" w:w="1728"/>
          </w:tcPr>
          <w:p>
            <w:r>
              <w:rPr>
                <w:rFonts w:ascii="Calibri" w:hAnsi="Calibri"/>
                <w:sz w:val="22"/>
              </w:rPr>
              <w:t>—</w:t>
            </w:r>
          </w:p>
        </w:tc>
        <w:tc>
          <w:tcPr>
            <w:tcW w:type="dxa" w:w="1728"/>
          </w:tcPr>
          <w:p>
            <w:r>
              <w:rPr>
                <w:rFonts w:ascii="Calibri" w:hAnsi="Calibri"/>
                <w:sz w:val="22"/>
              </w:rPr>
              <w:t>N/A — not in VA</w:t>
            </w:r>
          </w:p>
        </w:tc>
        <w:tc>
          <w:tcPr>
            <w:tcW w:type="dxa" w:w="1728"/>
          </w:tcPr>
          <w:p>
            <w:r>
              <w:rPr>
                <w:rFonts w:ascii="Calibri" w:hAnsi="Calibri"/>
                <w:sz w:val="22"/>
              </w:rPr>
              <w:t>Unchanged; Q1 actuals +2.8% tracking to guide</w:t>
            </w:r>
          </w:p>
        </w:tc>
      </w:tr>
      <w:tr>
        <w:tc>
          <w:tcPr>
            <w:tcW w:type="dxa" w:w="1728"/>
          </w:tcPr>
          <w:p>
            <w:r>
              <w:rPr>
                <w:rFonts w:ascii="Calibri" w:hAnsi="Calibri"/>
                <w:sz w:val="22"/>
              </w:rPr>
              <w:t>FY 2026 Capital Investment</w:t>
            </w:r>
          </w:p>
        </w:tc>
        <w:tc>
          <w:tcPr>
            <w:tcW w:type="dxa" w:w="1728"/>
          </w:tcPr>
          <w:p>
            <w:r>
              <w:rPr>
                <w:rFonts w:ascii="Calibri" w:hAnsi="Calibri"/>
                <w:sz w:val="22"/>
              </w:rPr>
              <w:t>$14B</w:t>
            </w:r>
          </w:p>
        </w:tc>
        <w:tc>
          <w:tcPr>
            <w:tcW w:type="dxa" w:w="1728"/>
          </w:tcPr>
          <w:p>
            <w:r>
              <w:rPr>
                <w:rFonts w:ascii="Calibri" w:hAnsi="Calibri"/>
                <w:sz w:val="22"/>
              </w:rPr>
              <w:t>—</w:t>
            </w:r>
          </w:p>
        </w:tc>
        <w:tc>
          <w:tcPr>
            <w:tcW w:type="dxa" w:w="1728"/>
          </w:tcPr>
          <w:p>
            <w:r>
              <w:rPr>
                <w:rFonts w:ascii="Calibri" w:hAnsi="Calibri"/>
                <w:sz w:val="22"/>
              </w:rPr>
              <w:t>$13.6B (VA consensus)</w:t>
            </w:r>
          </w:p>
        </w:tc>
        <w:tc>
          <w:tcPr>
            <w:tcW w:type="dxa" w:w="1728"/>
          </w:tcPr>
          <w:p>
            <w:r>
              <w:rPr>
                <w:rFonts w:ascii="Calibri" w:hAnsi="Calibri"/>
                <w:sz w:val="22"/>
              </w:rPr>
              <w:t>Unchanged; described as most extensive in company history</w:t>
            </w:r>
          </w:p>
        </w:tc>
      </w:tr>
      <w:tr>
        <w:tc>
          <w:tcPr>
            <w:tcW w:type="dxa" w:w="1728"/>
          </w:tcPr>
          <w:p>
            <w:r>
              <w:rPr>
                <w:rFonts w:ascii="Calibri" w:hAnsi="Calibri"/>
                <w:sz w:val="22"/>
              </w:rPr>
              <w:t>Data Center Contracted Capacity Target</w:t>
            </w:r>
          </w:p>
        </w:tc>
        <w:tc>
          <w:tcPr>
            <w:tcW w:type="dxa" w:w="1728"/>
          </w:tcPr>
          <w:p>
            <w:r>
              <w:rPr>
                <w:rFonts w:ascii="Calibri" w:hAnsi="Calibri"/>
                <w:sz w:val="22"/>
              </w:rPr>
              <w:t>3 GW by YE 2026; 6 GW by YE 2027</w:t>
            </w:r>
          </w:p>
        </w:tc>
        <w:tc>
          <w:tcPr>
            <w:tcW w:type="dxa" w:w="1728"/>
          </w:tcPr>
          <w:p>
            <w:r>
              <w:rPr>
                <w:rFonts w:ascii="Calibri" w:hAnsi="Calibri"/>
                <w:sz w:val="22"/>
              </w:rPr>
              <w:t>—</w:t>
            </w:r>
          </w:p>
        </w:tc>
        <w:tc>
          <w:tcPr>
            <w:tcW w:type="dxa" w:w="1728"/>
          </w:tcPr>
          <w:p>
            <w:r>
              <w:rPr>
                <w:rFonts w:ascii="Calibri" w:hAnsi="Calibri"/>
                <w:sz w:val="22"/>
              </w:rPr>
              <w:t>N/A</w:t>
            </w:r>
          </w:p>
        </w:tc>
        <w:tc>
          <w:tcPr>
            <w:tcW w:type="dxa" w:w="1728"/>
          </w:tcPr>
          <w:p>
            <w:r>
              <w:rPr>
                <w:rFonts w:ascii="Calibri" w:hAnsi="Calibri"/>
                <w:sz w:val="22"/>
              </w:rPr>
              <w:t>Unchanged; Google ESA (1.9 GW) + NextEra JDA (2 GW in development) underpin confidence</w:t>
            </w:r>
          </w:p>
        </w:tc>
      </w:tr>
      <w:tr>
        <w:tc>
          <w:tcPr>
            <w:tcW w:type="dxa" w:w="1728"/>
          </w:tcPr>
          <w:p>
            <w:r>
              <w:rPr>
                <w:rFonts w:ascii="Calibri" w:hAnsi="Calibri"/>
                <w:sz w:val="22"/>
              </w:rPr>
              <w:t>MN Electric Rate Case</w:t>
            </w:r>
          </w:p>
        </w:tc>
        <w:tc>
          <w:tcPr>
            <w:tcW w:type="dxa" w:w="1728"/>
          </w:tcPr>
          <w:p>
            <w:r>
              <w:rPr>
                <w:rFonts w:ascii="Calibri" w:hAnsi="Calibri"/>
                <w:sz w:val="22"/>
              </w:rPr>
              <w:t>ALJ rec: 9.8% ROE, 52.5% equity; MPUC deliberations June, order July</w:t>
            </w:r>
          </w:p>
        </w:tc>
        <w:tc>
          <w:tcPr>
            <w:tcW w:type="dxa" w:w="1728"/>
          </w:tcPr>
          <w:p>
            <w:r>
              <w:rPr>
                <w:rFonts w:ascii="Calibri" w:hAnsi="Calibri"/>
                <w:sz w:val="22"/>
              </w:rPr>
              <w:t>MPUC verbal decision Jun 18: 9.60% ROE, 52.5% equity, ~$211M over 2 yrs</w:t>
            </w:r>
          </w:p>
        </w:tc>
        <w:tc>
          <w:tcPr>
            <w:tcW w:type="dxa" w:w="1728"/>
          </w:tcPr>
          <w:p>
            <w:r>
              <w:rPr>
                <w:rFonts w:ascii="Calibri" w:hAnsi="Calibri"/>
                <w:sz w:val="22"/>
              </w:rPr>
              <w:t>N/A</w:t>
            </w:r>
          </w:p>
        </w:tc>
        <w:tc>
          <w:tcPr>
            <w:tcW w:type="dxa" w:w="1728"/>
          </w:tcPr>
          <w:p>
            <w:r>
              <w:rPr>
                <w:rFonts w:ascii="Calibri" w:hAnsi="Calibri"/>
                <w:sz w:val="22"/>
              </w:rPr>
              <w:t>↑ Constructive outcome; final written order expected Jul 31, 2026 — positive catalyst</w:t>
            </w:r>
          </w:p>
        </w:tc>
      </w:tr>
      <w:tr>
        <w:tc>
          <w:tcPr>
            <w:tcW w:type="dxa" w:w="1728"/>
          </w:tcPr>
          <w:p>
            <w:r>
              <w:rPr>
                <w:rFonts w:ascii="Calibri" w:hAnsi="Calibri"/>
                <w:sz w:val="22"/>
              </w:rPr>
              <w:t>CO Electric Rate Case</w:t>
            </w:r>
          </w:p>
        </w:tc>
        <w:tc>
          <w:tcPr>
            <w:tcW w:type="dxa" w:w="1728"/>
          </w:tcPr>
          <w:p>
            <w:r>
              <w:rPr>
                <w:rFonts w:ascii="Calibri" w:hAnsi="Calibri"/>
                <w:sz w:val="22"/>
              </w:rPr>
              <w:t>Settlement discussions underway; decision expected Q3 2026</w:t>
            </w:r>
          </w:p>
        </w:tc>
        <w:tc>
          <w:tcPr>
            <w:tcW w:type="dxa" w:w="1728"/>
          </w:tcPr>
          <w:p>
            <w:r>
              <w:rPr>
                <w:rFonts w:ascii="Calibri" w:hAnsi="Calibri"/>
                <w:sz w:val="22"/>
              </w:rPr>
              <w:t>Non-unanimous settlement filed Jun 2: $225M revenue increase, 9.3% ROE, 54.5% equity</w:t>
            </w:r>
          </w:p>
        </w:tc>
        <w:tc>
          <w:tcPr>
            <w:tcW w:type="dxa" w:w="1728"/>
          </w:tcPr>
          <w:p>
            <w:r>
              <w:rPr>
                <w:rFonts w:ascii="Calibri" w:hAnsi="Calibri"/>
                <w:sz w:val="22"/>
              </w:rPr>
              <w:t>N/A</w:t>
            </w:r>
          </w:p>
        </w:tc>
        <w:tc>
          <w:tcPr>
            <w:tcW w:type="dxa" w:w="1728"/>
          </w:tcPr>
          <w:p>
            <w:r>
              <w:rPr>
                <w:rFonts w:ascii="Calibri" w:hAnsi="Calibri"/>
                <w:sz w:val="22"/>
              </w:rPr>
              <w:t>Constructive but below initial ask ($356M); CPUC decision expected Q3 2026</w:t>
            </w:r>
          </w:p>
        </w:tc>
      </w:tr>
      <w:tr>
        <w:tc>
          <w:tcPr>
            <w:tcW w:type="dxa" w:w="1728"/>
          </w:tcPr>
          <w:p>
            <w:r>
              <w:rPr>
                <w:rFonts w:ascii="Calibri" w:hAnsi="Calibri"/>
                <w:sz w:val="22"/>
              </w:rPr>
              <w:t>NM Electric Rate Case</w:t>
            </w:r>
          </w:p>
        </w:tc>
        <w:tc>
          <w:tcPr>
            <w:tcW w:type="dxa" w:w="1728"/>
          </w:tcPr>
          <w:p>
            <w:r>
              <w:rPr>
                <w:rFonts w:ascii="Calibri" w:hAnsi="Calibri"/>
                <w:sz w:val="22"/>
              </w:rPr>
              <w:t>Intervenor testimony due May 1; commission decision Q4 2026</w:t>
            </w:r>
          </w:p>
        </w:tc>
        <w:tc>
          <w:tcPr>
            <w:tcW w:type="dxa" w:w="1728"/>
          </w:tcPr>
          <w:p>
            <w:r>
              <w:rPr>
                <w:rFonts w:ascii="Calibri" w:hAnsi="Calibri"/>
                <w:sz w:val="22"/>
              </w:rPr>
              <w:t>Non-unanimous stipulation filed Jun 22: $90M revenue increase, 9.5% ROE; hearing Jul 2026</w:t>
            </w:r>
          </w:p>
        </w:tc>
        <w:tc>
          <w:tcPr>
            <w:tcW w:type="dxa" w:w="1728"/>
          </w:tcPr>
          <w:p>
            <w:r>
              <w:rPr>
                <w:rFonts w:ascii="Calibri" w:hAnsi="Calibri"/>
                <w:sz w:val="22"/>
              </w:rPr>
              <w:t>N/A</w:t>
            </w:r>
          </w:p>
        </w:tc>
        <w:tc>
          <w:tcPr>
            <w:tcW w:type="dxa" w:w="1728"/>
          </w:tcPr>
          <w:p>
            <w:r>
              <w:rPr>
                <w:rFonts w:ascii="Calibri" w:hAnsi="Calibri"/>
                <w:sz w:val="22"/>
              </w:rPr>
              <w:t>Constructive; NMPRC decision Q4 2026, rates Dec 2026</w:t>
            </w:r>
          </w:p>
        </w:tc>
      </w:tr>
    </w:tbl>
    <w:p>
      <w:pPr>
        <w:pStyle w:val="Heading2"/>
      </w:pPr>
      <w:r>
        <w:rPr>
          <w:rFonts w:ascii="Calibri" w:hAnsi="Calibri"/>
          <w:b/>
          <w:color w:val="3B4259"/>
          <w:sz w:val="28"/>
        </w:rPr>
        <w:t>4. Guidance vs. Estimate Revision Tracker</w:t>
      </w:r>
    </w:p>
    <w:p>
      <w:r>
        <w:rPr>
          <w:rFonts w:ascii="Calibri" w:hAnsi="Calibri"/>
          <w:b/>
          <w:color w:val="525866"/>
          <w:sz w:val="22"/>
        </w:rPr>
        <w:t xml:space="preserve">Key Takeaway: </w:t>
      </w:r>
      <w:r>
        <w:rPr>
          <w:rFonts w:ascii="Calibri" w:hAnsi="Calibri"/>
          <w:color w:val="525866"/>
          <w:sz w:val="22"/>
        </w:rPr>
        <w:t xml:space="preserve">Estimates have been </w:t>
      </w:r>
      <w:r>
        <w:rPr>
          <w:rFonts w:ascii="Calibri" w:hAnsi="Calibri"/>
          <w:b/>
          <w:color w:val="525866"/>
          <w:sz w:val="22"/>
        </w:rPr>
        <w:t>broadly stable to slightly lower</w:t>
      </w:r>
      <w:r>
        <w:rPr>
          <w:rFonts w:ascii="Calibri" w:hAnsi="Calibri"/>
          <w:color w:val="525866"/>
          <w:sz w:val="22"/>
        </w:rPr>
        <w:t xml:space="preserve"> since the Q1 2026 print — Q2 2026 Operating EPS drifted from $0.82 to $0.80 (−2.4%), while FY 2026 consensus is essentially flat at $4.12 vs. $4.12 at the post-Q1 baseline — suggesting the street is tracking guidance rather than diverging, and the gap represents </w:t>
      </w:r>
      <w:r>
        <w:rPr>
          <w:rFonts w:ascii="Calibri" w:hAnsi="Calibri"/>
          <w:b/>
          <w:color w:val="525866"/>
          <w:sz w:val="22"/>
        </w:rPr>
        <w:t>modest cushion</w:t>
      </w:r>
      <w:r>
        <w:rPr>
          <w:rFonts w:ascii="Calibri" w:hAnsi="Calibri"/>
          <w:color w:val="525866"/>
          <w:sz w:val="22"/>
        </w:rPr>
        <w:t xml:space="preserve"> rather than risk.</w:t>
      </w:r>
    </w:p>
    <w:tbl>
      <w:tblPr>
        <w:tblStyle w:val="TableGrid"/>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tcPr>
          <w:p>
            <w:r>
              <w:rPr>
                <w:rFonts w:ascii="Calibri" w:hAnsi="Calibri"/>
                <w:b/>
                <w:sz w:val="22"/>
              </w:rPr>
              <w:t>KPI (Period)</w:t>
            </w:r>
          </w:p>
        </w:tc>
        <w:tc>
          <w:tcPr>
            <w:tcW w:type="dxa" w:w="1080"/>
          </w:tcPr>
          <w:p>
            <w:r>
              <w:rPr>
                <w:rFonts w:ascii="Calibri" w:hAnsi="Calibri"/>
                <w:b/>
                <w:sz w:val="22"/>
              </w:rPr>
              <w:t>Estimate ~5 Days Post Q1 Earnings (May 5, 2026)</w:t>
            </w:r>
          </w:p>
        </w:tc>
        <w:tc>
          <w:tcPr>
            <w:tcW w:type="dxa" w:w="1080"/>
          </w:tcPr>
          <w:p>
            <w:r>
              <w:rPr>
                <w:rFonts w:ascii="Calibri" w:hAnsi="Calibri"/>
                <w:b/>
                <w:sz w:val="22"/>
              </w:rPr>
              <w:t>Current Consensus (Jul 29, 2026)</w:t>
            </w:r>
          </w:p>
        </w:tc>
        <w:tc>
          <w:tcPr>
            <w:tcW w:type="dxa" w:w="1080"/>
          </w:tcPr>
          <w:p>
            <w:r>
              <w:rPr>
                <w:rFonts w:ascii="Calibri" w:hAnsi="Calibri"/>
                <w:b/>
                <w:sz w:val="22"/>
              </w:rPr>
              <w:t>Estimate Δ (%)</w:t>
            </w:r>
          </w:p>
        </w:tc>
        <w:tc>
          <w:tcPr>
            <w:tcW w:type="dxa" w:w="1080"/>
          </w:tcPr>
          <w:p>
            <w:r>
              <w:rPr>
                <w:rFonts w:ascii="Calibri" w:hAnsi="Calibri"/>
                <w:b/>
                <w:sz w:val="22"/>
              </w:rPr>
              <w:t>Initial Guidance (Q1 Call)</w:t>
            </w:r>
          </w:p>
        </w:tc>
        <w:tc>
          <w:tcPr>
            <w:tcW w:type="dxa" w:w="1080"/>
          </w:tcPr>
          <w:p>
            <w:r>
              <w:rPr>
                <w:rFonts w:ascii="Calibri" w:hAnsi="Calibri"/>
                <w:b/>
                <w:sz w:val="22"/>
              </w:rPr>
              <w:t>Current Guidance</w:t>
            </w:r>
          </w:p>
        </w:tc>
        <w:tc>
          <w:tcPr>
            <w:tcW w:type="dxa" w:w="1080"/>
          </w:tcPr>
          <w:p>
            <w:r>
              <w:rPr>
                <w:rFonts w:ascii="Calibri" w:hAnsi="Calibri"/>
                <w:b/>
                <w:sz w:val="22"/>
              </w:rPr>
              <w:t>Guidance Δ</w:t>
            </w:r>
          </w:p>
        </w:tc>
        <w:tc>
          <w:tcPr>
            <w:tcW w:type="dxa" w:w="1080"/>
          </w:tcPr>
          <w:p>
            <w:r>
              <w:rPr>
                <w:rFonts w:ascii="Calibri" w:hAnsi="Calibri"/>
                <w:b/>
                <w:sz w:val="22"/>
              </w:rPr>
              <w:t>Consensus vs. Guidance (%)</w:t>
            </w:r>
          </w:p>
        </w:tc>
      </w:tr>
      <w:tr>
        <w:tc>
          <w:tcPr>
            <w:tcW w:type="dxa" w:w="1080"/>
          </w:tcPr>
          <w:p>
            <w:r>
              <w:rPr>
                <w:rFonts w:ascii="Calibri" w:hAnsi="Calibri"/>
                <w:sz w:val="22"/>
              </w:rPr>
              <w:t>Operating EPS — Q2 2026</w:t>
            </w:r>
          </w:p>
        </w:tc>
        <w:tc>
          <w:tcPr>
            <w:tcW w:type="dxa" w:w="1080"/>
          </w:tcPr>
          <w:p>
            <w:r>
              <w:rPr>
                <w:rFonts w:ascii="Calibri" w:hAnsi="Calibri"/>
                <w:sz w:val="22"/>
              </w:rPr>
              <w:t>$0.82</w:t>
            </w:r>
          </w:p>
        </w:tc>
        <w:tc>
          <w:tcPr>
            <w:tcW w:type="dxa" w:w="1080"/>
          </w:tcPr>
          <w:p>
            <w:r>
              <w:rPr>
                <w:rFonts w:ascii="Calibri" w:hAnsi="Calibri"/>
                <w:sz w:val="22"/>
              </w:rPr>
              <w:t>$0.80</w:t>
            </w:r>
          </w:p>
        </w:tc>
        <w:tc>
          <w:tcPr>
            <w:tcW w:type="dxa" w:w="1080"/>
          </w:tcPr>
          <w:p>
            <w:r>
              <w:rPr>
                <w:rFonts w:ascii="Calibri" w:hAnsi="Calibri"/>
                <w:sz w:val="22"/>
              </w:rPr>
              <w:t>−2.4%</w:t>
            </w:r>
          </w:p>
        </w:tc>
        <w:tc>
          <w:tcPr>
            <w:tcW w:type="dxa" w:w="1080"/>
          </w:tcPr>
          <w:p>
            <w:r>
              <w:rPr>
                <w:rFonts w:ascii="Calibri" w:hAnsi="Calibri"/>
                <w:sz w:val="22"/>
              </w:rPr>
              <w:t>N/A (no quarterly EPS guide)</w:t>
            </w:r>
          </w:p>
        </w:tc>
        <w:tc>
          <w:tcPr>
            <w:tcW w:type="dxa" w:w="1080"/>
          </w:tcPr>
          <w:p>
            <w:r>
              <w:rPr>
                <w:rFonts w:ascii="Calibri" w:hAnsi="Calibri"/>
                <w:sz w:val="22"/>
              </w:rPr>
              <w:t>N/A</w:t>
            </w:r>
          </w:p>
        </w:tc>
        <w:tc>
          <w:tcPr>
            <w:tcW w:type="dxa" w:w="1080"/>
          </w:tcPr>
          <w:p>
            <w:r>
              <w:rPr>
                <w:rFonts w:ascii="Calibri" w:hAnsi="Calibri"/>
                <w:sz w:val="22"/>
              </w:rPr>
              <w:t>N/A</w:t>
            </w:r>
          </w:p>
        </w:tc>
        <w:tc>
          <w:tcPr>
            <w:tcW w:type="dxa" w:w="1080"/>
          </w:tcPr>
          <w:p>
            <w:r>
              <w:rPr>
                <w:rFonts w:ascii="Calibri" w:hAnsi="Calibri"/>
                <w:sz w:val="22"/>
              </w:rPr>
              <w:t>N/A</w:t>
            </w:r>
          </w:p>
        </w:tc>
      </w:tr>
      <w:tr>
        <w:tc>
          <w:tcPr>
            <w:tcW w:type="dxa" w:w="1080"/>
          </w:tcPr>
          <w:p>
            <w:r>
              <w:rPr>
                <w:rFonts w:ascii="Calibri" w:hAnsi="Calibri"/>
                <w:sz w:val="22"/>
              </w:rPr>
              <w:t>Operating EPS — FY 2026</w:t>
            </w:r>
          </w:p>
        </w:tc>
        <w:tc>
          <w:tcPr>
            <w:tcW w:type="dxa" w:w="1080"/>
          </w:tcPr>
          <w:p>
            <w:r>
              <w:rPr>
                <w:rFonts w:ascii="Calibri" w:hAnsi="Calibri"/>
                <w:sz w:val="22"/>
              </w:rPr>
              <w:t>$4.12</w:t>
            </w:r>
          </w:p>
        </w:tc>
        <w:tc>
          <w:tcPr>
            <w:tcW w:type="dxa" w:w="1080"/>
          </w:tcPr>
          <w:p>
            <w:r>
              <w:rPr>
                <w:rFonts w:ascii="Calibri" w:hAnsi="Calibri"/>
                <w:sz w:val="22"/>
              </w:rPr>
              <w:t>$4.12</w:t>
            </w:r>
          </w:p>
        </w:tc>
        <w:tc>
          <w:tcPr>
            <w:tcW w:type="dxa" w:w="1080"/>
          </w:tcPr>
          <w:p>
            <w:r>
              <w:rPr>
                <w:rFonts w:ascii="Calibri" w:hAnsi="Calibri"/>
                <w:sz w:val="22"/>
              </w:rPr>
              <w:t>0.0%</w:t>
            </w:r>
          </w:p>
        </w:tc>
        <w:tc>
          <w:tcPr>
            <w:tcW w:type="dxa" w:w="1080"/>
          </w:tcPr>
          <w:p>
            <w:r>
              <w:rPr>
                <w:rFonts w:ascii="Calibri" w:hAnsi="Calibri"/>
                <w:sz w:val="22"/>
              </w:rPr>
              <w:t>$4.04–$4.16 (mid: $4.10)</w:t>
            </w:r>
          </w:p>
        </w:tc>
        <w:tc>
          <w:tcPr>
            <w:tcW w:type="dxa" w:w="1080"/>
          </w:tcPr>
          <w:p>
            <w:r>
              <w:rPr>
                <w:rFonts w:ascii="Calibri" w:hAnsi="Calibri"/>
                <w:sz w:val="22"/>
              </w:rPr>
              <w:t>$4.04–$4.16 (unchanged)</w:t>
            </w:r>
          </w:p>
        </w:tc>
        <w:tc>
          <w:tcPr>
            <w:tcW w:type="dxa" w:w="1080"/>
          </w:tcPr>
          <w:p>
            <w:r>
              <w:rPr>
                <w:rFonts w:ascii="Calibri" w:hAnsi="Calibri"/>
                <w:sz w:val="22"/>
              </w:rPr>
              <w:t>0%</w:t>
            </w:r>
          </w:p>
        </w:tc>
        <w:tc>
          <w:tcPr>
            <w:tcW w:type="dxa" w:w="1080"/>
          </w:tcPr>
          <w:p>
            <w:r>
              <w:rPr>
                <w:rFonts w:ascii="Calibri" w:hAnsi="Calibri"/>
                <w:sz w:val="22"/>
              </w:rPr>
              <w:t>+0.5% above midpoint</w:t>
            </w:r>
          </w:p>
        </w:tc>
      </w:tr>
      <w:tr>
        <w:tc>
          <w:tcPr>
            <w:tcW w:type="dxa" w:w="1080"/>
          </w:tcPr>
          <w:p>
            <w:r>
              <w:rPr>
                <w:rFonts w:ascii="Calibri" w:hAnsi="Calibri"/>
                <w:sz w:val="22"/>
              </w:rPr>
              <w:t>Operating EPS — FY 2027</w:t>
            </w:r>
          </w:p>
        </w:tc>
        <w:tc>
          <w:tcPr>
            <w:tcW w:type="dxa" w:w="1080"/>
          </w:tcPr>
          <w:p>
            <w:r>
              <w:rPr>
                <w:rFonts w:ascii="Calibri" w:hAnsi="Calibri"/>
                <w:sz w:val="22"/>
              </w:rPr>
              <w:t>$4.56</w:t>
            </w:r>
          </w:p>
        </w:tc>
        <w:tc>
          <w:tcPr>
            <w:tcW w:type="dxa" w:w="1080"/>
          </w:tcPr>
          <w:p>
            <w:r>
              <w:rPr>
                <w:rFonts w:ascii="Calibri" w:hAnsi="Calibri"/>
                <w:sz w:val="22"/>
              </w:rPr>
              <w:t>$4.54</w:t>
            </w:r>
          </w:p>
        </w:tc>
        <w:tc>
          <w:tcPr>
            <w:tcW w:type="dxa" w:w="1080"/>
          </w:tcPr>
          <w:p>
            <w:r>
              <w:rPr>
                <w:rFonts w:ascii="Calibri" w:hAnsi="Calibri"/>
                <w:sz w:val="22"/>
              </w:rPr>
              <w:t>−0.4%</w:t>
            </w:r>
          </w:p>
        </w:tc>
        <w:tc>
          <w:tcPr>
            <w:tcW w:type="dxa" w:w="1080"/>
          </w:tcPr>
          <w:p>
            <w:r>
              <w:rPr>
                <w:rFonts w:ascii="Calibri" w:hAnsi="Calibri"/>
                <w:sz w:val="22"/>
              </w:rPr>
              <w:t>6%–8%+ growth off FY 2026</w:t>
            </w:r>
          </w:p>
        </w:tc>
        <w:tc>
          <w:tcPr>
            <w:tcW w:type="dxa" w:w="1080"/>
          </w:tcPr>
          <w:p>
            <w:r>
              <w:rPr>
                <w:rFonts w:ascii="Calibri" w:hAnsi="Calibri"/>
                <w:sz w:val="22"/>
              </w:rPr>
              <w:t>Unchanged</w:t>
            </w:r>
          </w:p>
        </w:tc>
        <w:tc>
          <w:tcPr>
            <w:tcW w:type="dxa" w:w="1080"/>
          </w:tcPr>
          <w:p>
            <w:r>
              <w:rPr>
                <w:rFonts w:ascii="Calibri" w:hAnsi="Calibri"/>
                <w:sz w:val="22"/>
              </w:rPr>
              <w:t>0%</w:t>
            </w:r>
          </w:p>
        </w:tc>
        <w:tc>
          <w:tcPr>
            <w:tcW w:type="dxa" w:w="1080"/>
          </w:tcPr>
          <w:p>
            <w:r>
              <w:rPr>
                <w:rFonts w:ascii="Calibri" w:hAnsi="Calibri"/>
                <w:sz w:val="22"/>
              </w:rPr>
              <w:t>Consistent with guide</w:t>
            </w:r>
          </w:p>
        </w:tc>
      </w:tr>
      <w:tr>
        <w:tc>
          <w:tcPr>
            <w:tcW w:type="dxa" w:w="1080"/>
          </w:tcPr>
          <w:p>
            <w:r>
              <w:rPr>
                <w:rFonts w:ascii="Calibri" w:hAnsi="Calibri"/>
                <w:sz w:val="22"/>
              </w:rPr>
              <w:t>Total Revenue — Q2 2026</w:t>
            </w:r>
          </w:p>
        </w:tc>
        <w:tc>
          <w:tcPr>
            <w:tcW w:type="dxa" w:w="1080"/>
          </w:tcPr>
          <w:p>
            <w:r>
              <w:rPr>
                <w:rFonts w:ascii="Calibri" w:hAnsi="Calibri"/>
                <w:sz w:val="22"/>
              </w:rPr>
              <w:t>$3.38B</w:t>
            </w:r>
          </w:p>
        </w:tc>
        <w:tc>
          <w:tcPr>
            <w:tcW w:type="dxa" w:w="1080"/>
          </w:tcPr>
          <w:p>
            <w:r>
              <w:rPr>
                <w:rFonts w:ascii="Calibri" w:hAnsi="Calibri"/>
                <w:sz w:val="22"/>
              </w:rPr>
              <w:t>$3.53B</w:t>
            </w:r>
          </w:p>
        </w:tc>
        <w:tc>
          <w:tcPr>
            <w:tcW w:type="dxa" w:w="1080"/>
          </w:tcPr>
          <w:p>
            <w:r>
              <w:rPr>
                <w:rFonts w:ascii="Calibri" w:hAnsi="Calibri"/>
                <w:sz w:val="22"/>
              </w:rPr>
              <w:t>+4.4%</w:t>
            </w:r>
          </w:p>
        </w:tc>
        <w:tc>
          <w:tcPr>
            <w:tcW w:type="dxa" w:w="1080"/>
          </w:tcPr>
          <w:p>
            <w:r>
              <w:rPr>
                <w:rFonts w:ascii="Calibri" w:hAnsi="Calibri"/>
                <w:sz w:val="22"/>
              </w:rPr>
              <w:t>N/A</w:t>
            </w:r>
          </w:p>
        </w:tc>
        <w:tc>
          <w:tcPr>
            <w:tcW w:type="dxa" w:w="1080"/>
          </w:tcPr>
          <w:p>
            <w:r>
              <w:rPr>
                <w:rFonts w:ascii="Calibri" w:hAnsi="Calibri"/>
                <w:sz w:val="22"/>
              </w:rPr>
              <w:t>N/A</w:t>
            </w:r>
          </w:p>
        </w:tc>
        <w:tc>
          <w:tcPr>
            <w:tcW w:type="dxa" w:w="1080"/>
          </w:tcPr>
          <w:p>
            <w:r>
              <w:rPr>
                <w:rFonts w:ascii="Calibri" w:hAnsi="Calibri"/>
                <w:sz w:val="22"/>
              </w:rPr>
              <w:t>N/A</w:t>
            </w:r>
          </w:p>
        </w:tc>
        <w:tc>
          <w:tcPr>
            <w:tcW w:type="dxa" w:w="1080"/>
          </w:tcPr>
          <w:p>
            <w:r>
              <w:rPr>
                <w:rFonts w:ascii="Calibri" w:hAnsi="Calibri"/>
                <w:sz w:val="22"/>
              </w:rPr>
              <w:t>N/A</w:t>
            </w:r>
          </w:p>
        </w:tc>
      </w:tr>
      <w:tr>
        <w:tc>
          <w:tcPr>
            <w:tcW w:type="dxa" w:w="1080"/>
          </w:tcPr>
          <w:p>
            <w:r>
              <w:rPr>
                <w:rFonts w:ascii="Calibri" w:hAnsi="Calibri"/>
                <w:sz w:val="22"/>
              </w:rPr>
              <w:t>Total Revenue — FY 2026</w:t>
            </w:r>
          </w:p>
        </w:tc>
        <w:tc>
          <w:tcPr>
            <w:tcW w:type="dxa" w:w="1080"/>
          </w:tcPr>
          <w:p>
            <w:r>
              <w:rPr>
                <w:rFonts w:ascii="Calibri" w:hAnsi="Calibri"/>
                <w:sz w:val="22"/>
              </w:rPr>
              <w:t>$15.73B</w:t>
            </w:r>
          </w:p>
        </w:tc>
        <w:tc>
          <w:tcPr>
            <w:tcW w:type="dxa" w:w="1080"/>
          </w:tcPr>
          <w:p>
            <w:r>
              <w:rPr>
                <w:rFonts w:ascii="Calibri" w:hAnsi="Calibri"/>
                <w:sz w:val="22"/>
              </w:rPr>
              <w:t>$15.75B</w:t>
            </w:r>
          </w:p>
        </w:tc>
        <w:tc>
          <w:tcPr>
            <w:tcW w:type="dxa" w:w="1080"/>
          </w:tcPr>
          <w:p>
            <w:r>
              <w:rPr>
                <w:rFonts w:ascii="Calibri" w:hAnsi="Calibri"/>
                <w:sz w:val="22"/>
              </w:rPr>
              <w:t>+0.1%</w:t>
            </w:r>
          </w:p>
        </w:tc>
        <w:tc>
          <w:tcPr>
            <w:tcW w:type="dxa" w:w="1080"/>
          </w:tcPr>
          <w:p>
            <w:r>
              <w:rPr>
                <w:rFonts w:ascii="Calibri" w:hAnsi="Calibri"/>
                <w:sz w:val="22"/>
              </w:rPr>
              <w:t>N/A</w:t>
            </w:r>
          </w:p>
        </w:tc>
        <w:tc>
          <w:tcPr>
            <w:tcW w:type="dxa" w:w="1080"/>
          </w:tcPr>
          <w:p>
            <w:r>
              <w:rPr>
                <w:rFonts w:ascii="Calibri" w:hAnsi="Calibri"/>
                <w:sz w:val="22"/>
              </w:rPr>
              <w:t>N/A</w:t>
            </w:r>
          </w:p>
        </w:tc>
        <w:tc>
          <w:tcPr>
            <w:tcW w:type="dxa" w:w="1080"/>
          </w:tcPr>
          <w:p>
            <w:r>
              <w:rPr>
                <w:rFonts w:ascii="Calibri" w:hAnsi="Calibri"/>
                <w:sz w:val="22"/>
              </w:rPr>
              <w:t>N/A</w:t>
            </w:r>
          </w:p>
        </w:tc>
        <w:tc>
          <w:tcPr>
            <w:tcW w:type="dxa" w:w="1080"/>
          </w:tcPr>
          <w:p>
            <w:r>
              <w:rPr>
                <w:rFonts w:ascii="Calibri" w:hAnsi="Calibri"/>
                <w:sz w:val="22"/>
              </w:rPr>
              <w:t>N/A</w:t>
            </w:r>
          </w:p>
        </w:tc>
      </w:tr>
      <w:tr>
        <w:tc>
          <w:tcPr>
            <w:tcW w:type="dxa" w:w="1080"/>
          </w:tcPr>
          <w:p>
            <w:r>
              <w:rPr>
                <w:rFonts w:ascii="Calibri" w:hAnsi="Calibri"/>
                <w:sz w:val="22"/>
              </w:rPr>
              <w:t>Utility CapEx — Q2 2026</w:t>
            </w:r>
          </w:p>
        </w:tc>
        <w:tc>
          <w:tcPr>
            <w:tcW w:type="dxa" w:w="1080"/>
          </w:tcPr>
          <w:p>
            <w:r>
              <w:rPr>
                <w:rFonts w:ascii="Calibri" w:hAnsi="Calibri"/>
                <w:sz w:val="22"/>
              </w:rPr>
              <w:t>$3.42B</w:t>
            </w:r>
          </w:p>
        </w:tc>
        <w:tc>
          <w:tcPr>
            <w:tcW w:type="dxa" w:w="1080"/>
          </w:tcPr>
          <w:p>
            <w:r>
              <w:rPr>
                <w:rFonts w:ascii="Calibri" w:hAnsi="Calibri"/>
                <w:sz w:val="22"/>
              </w:rPr>
              <w:t>$3.53B</w:t>
            </w:r>
          </w:p>
        </w:tc>
        <w:tc>
          <w:tcPr>
            <w:tcW w:type="dxa" w:w="1080"/>
          </w:tcPr>
          <w:p>
            <w:r>
              <w:rPr>
                <w:rFonts w:ascii="Calibri" w:hAnsi="Calibri"/>
                <w:sz w:val="22"/>
              </w:rPr>
              <w:t>+3.2%</w:t>
            </w:r>
          </w:p>
        </w:tc>
        <w:tc>
          <w:tcPr>
            <w:tcW w:type="dxa" w:w="1080"/>
          </w:tcPr>
          <w:p>
            <w:r>
              <w:rPr>
                <w:rFonts w:ascii="Calibri" w:hAnsi="Calibri"/>
                <w:sz w:val="22"/>
              </w:rPr>
              <w:t>$14B (FY)</w:t>
            </w:r>
          </w:p>
        </w:tc>
        <w:tc>
          <w:tcPr>
            <w:tcW w:type="dxa" w:w="1080"/>
          </w:tcPr>
          <w:p>
            <w:r>
              <w:rPr>
                <w:rFonts w:ascii="Calibri" w:hAnsi="Calibri"/>
                <w:sz w:val="22"/>
              </w:rPr>
              <w:t>Unchanged</w:t>
            </w:r>
          </w:p>
        </w:tc>
        <w:tc>
          <w:tcPr>
            <w:tcW w:type="dxa" w:w="1080"/>
          </w:tcPr>
          <w:p>
            <w:r>
              <w:rPr>
                <w:rFonts w:ascii="Calibri" w:hAnsi="Calibri"/>
                <w:sz w:val="22"/>
              </w:rPr>
              <w:t>0%</w:t>
            </w:r>
          </w:p>
        </w:tc>
        <w:tc>
          <w:tcPr>
            <w:tcW w:type="dxa" w:w="1080"/>
          </w:tcPr>
          <w:p>
            <w:r>
              <w:rPr>
                <w:rFonts w:ascii="Calibri" w:hAnsi="Calibri"/>
                <w:sz w:val="22"/>
              </w:rPr>
              <w:t>On track</w:t>
            </w:r>
          </w:p>
        </w:tc>
      </w:tr>
    </w:tbl>
    <w:p>
      <w:r>
        <w:rPr>
          <w:rFonts w:ascii="Calibri" w:hAnsi="Calibri"/>
          <w:i/>
          <w:color w:val="525866"/>
          <w:sz w:val="22"/>
        </w:rPr>
        <w:t>Source: Visible Alpha Consensus and Actuals Data. Post-Q1 baseline as of May 5, 2026 (5 trading days after April 30 earnings). FY 2026 Operating EPS consensus is essentially flat since the Q1 print, confirming estimates are tracking guidance. The slight Q2 drift lower (−2.4%) likely reflects weather normalization assumptions for the summer quarter.</w:t>
      </w:r>
    </w:p>
    <w:p>
      <w:r>
        <w:br w:type="page"/>
      </w:r>
    </w:p>
    <w:p>
      <w:pPr>
        <w:pStyle w:val="Heading2"/>
      </w:pPr>
      <w:r>
        <w:rPr>
          <w:rFonts w:ascii="Calibri" w:hAnsi="Calibri"/>
          <w:b/>
          <w:color w:val="3B4259"/>
          <w:sz w:val="28"/>
        </w:rPr>
        <w:t>5. Stock Performance</w:t>
      </w:r>
    </w:p>
    <w:p>
      <w:r>
        <w:rPr>
          <w:rFonts w:ascii="Calibri" w:hAnsi="Calibri"/>
          <w:b/>
          <w:color w:val="525866"/>
          <w:sz w:val="22"/>
        </w:rPr>
        <w:t xml:space="preserve">Key Takeaway: </w:t>
      </w:r>
      <w:r>
        <w:rPr>
          <w:rFonts w:ascii="Calibri" w:hAnsi="Calibri"/>
          <w:color w:val="525866"/>
          <w:sz w:val="22"/>
        </w:rPr>
        <w:t xml:space="preserve">XEL has </w:t>
      </w:r>
      <w:r>
        <w:rPr>
          <w:rFonts w:ascii="Calibri" w:hAnsi="Calibri"/>
          <w:b/>
          <w:color w:val="525866"/>
          <w:sz w:val="22"/>
        </w:rPr>
        <w:t>underperformed both XLU and SPY</w:t>
      </w:r>
      <w:r>
        <w:rPr>
          <w:rFonts w:ascii="Calibri" w:hAnsi="Calibri"/>
          <w:color w:val="525866"/>
          <w:sz w:val="22"/>
        </w:rPr>
        <w:t xml:space="preserve"> since the Q1 2026 earnings date (April 30), declining ~5.1% vs. XLU −4.1% and SPY +1.5% — the underperformance is driven by </w:t>
      </w:r>
      <w:r>
        <w:rPr>
          <w:rFonts w:ascii="Calibri" w:hAnsi="Calibri"/>
          <w:b/>
          <w:color w:val="525866"/>
          <w:sz w:val="22"/>
        </w:rPr>
        <w:t>multiple compression</w:t>
      </w:r>
      <w:r>
        <w:rPr>
          <w:rFonts w:ascii="Calibri" w:hAnsi="Calibri"/>
          <w:color w:val="525866"/>
          <w:sz w:val="22"/>
        </w:rPr>
        <w:t xml:space="preserve"> as interest rates remained elevated and the market rotated toward risk assets, not by estimate cuts; the stock setup is undemanding heading into Q2.</w:t>
      </w:r>
    </w:p>
    <w:p>
      <w:r>
        <w:drawing>
          <wp:inline xmlns:a="http://schemas.openxmlformats.org/drawingml/2006/main" xmlns:pic="http://schemas.openxmlformats.org/drawingml/2006/picture">
            <wp:extent cx="5943600" cy="4245429"/>
            <wp:docPr id="1" name="Picture 1"/>
            <wp:cNvGraphicFramePr>
              <a:graphicFrameLocks noChangeAspect="1"/>
            </wp:cNvGraphicFramePr>
            <a:graphic>
              <a:graphicData uri="http://schemas.openxmlformats.org/drawingml/2006/picture">
                <pic:pic>
                  <pic:nvPicPr>
                    <pic:cNvPr id="0" name="image.png"/>
                    <pic:cNvPicPr/>
                  </pic:nvPicPr>
                  <pic:blipFill>
                    <a:blip r:embed="rId9"/>
                    <a:stretch>
                      <a:fillRect/>
                    </a:stretch>
                  </pic:blipFill>
                  <pic:spPr>
                    <a:xfrm>
                      <a:off x="0" y="0"/>
                      <a:ext cx="5943600" cy="4245429"/>
                    </a:xfrm>
                    <a:prstGeom prst="rect"/>
                  </pic:spPr>
                </pic:pic>
              </a:graphicData>
            </a:graphic>
          </wp:inline>
        </w:drawing>
      </w:r>
    </w:p>
    <w:p>
      <w:pPr>
        <w:jc w:val="center"/>
      </w:pPr>
      <w:r>
        <w:rPr>
          <w:i/>
          <w:color w:val="666666"/>
          <w:sz w:val="18"/>
        </w:rPr>
        <w:t>XEL vs. XLU (Utilities ETF) vs. S&amp;P 500 (SPY) — Indexed to 100 at Q1 2026 Earnings Date (April 30, 2026). Key events marked: ATM Program ($4.3B, May 1), CO Electric Settlement (Jun 2), MN Rate Case Verbal Decision (Jun 18), NM Settlement &amp; MN Order (Jun 22), CO Gas Settlement (Jul 13), Board Appointment (Jul 29). Source: Stock Price Data.</w:t>
      </w:r>
    </w:p>
    <w:p>
      <w:r>
        <w:rPr>
          <w:rFonts w:ascii="Calibri" w:hAnsi="Calibri"/>
          <w:b/>
          <w:color w:val="525866"/>
          <w:sz w:val="22"/>
        </w:rPr>
        <w:t xml:space="preserve">Sector ETF: </w:t>
      </w:r>
      <w:r>
        <w:rPr>
          <w:rFonts w:ascii="Calibri" w:hAnsi="Calibri"/>
          <w:color w:val="525866"/>
          <w:sz w:val="22"/>
        </w:rPr>
        <w:t>XLU (Utilities Select Sector SPDR Fund) — appropriate for XEL's regulated electric and gas utility sub-sector.</w:t>
      </w:r>
      <w:r>
        <w:rPr>
          <w:rFonts w:ascii="Calibri" w:hAnsi="Calibri"/>
          <w:color w:val="525866"/>
          <w:sz w:val="22"/>
        </w:rPr>
        <w:t xml:space="preserve">  |  </w:t>
      </w:r>
      <w:r>
        <w:rPr>
          <w:rFonts w:ascii="Calibri" w:hAnsi="Calibri"/>
          <w:b/>
          <w:color w:val="525866"/>
          <w:sz w:val="22"/>
        </w:rPr>
        <w:t>XEL total return since Apr 30: −5.1%  |  XLU: −4.1%  |  SPY: +1.5%</w:t>
      </w:r>
    </w:p>
    <w:p>
      <w:r>
        <w:rPr>
          <w:rFonts w:ascii="Calibri" w:hAnsi="Calibri"/>
          <w:color w:val="525866"/>
          <w:sz w:val="22"/>
        </w:rPr>
        <w:t>The stock's underperformance vs. XLU is modest (~1 percentage point) and consistent with sector-wide pressure from the rate environment. The June 22 Minnesota rate case order and NM settlement filing triggered a brief rally (XEL +3.5% June 22–26), but the stock gave back gains in July. The stock is trading at approximately 19x NTM EPS — in line with regulated utility peers — suggesting the market has not yet priced in the incremental data center upside from the $10B+ pipeline. The undemanding setup and constructive regulatory newsflow create a favorable risk/reward into the print.</w:t>
      </w:r>
    </w:p>
    <w:p>
      <w:pPr>
        <w:pStyle w:val="Heading2"/>
      </w:pPr>
      <w:r>
        <w:rPr>
          <w:rFonts w:ascii="Calibri" w:hAnsi="Calibri"/>
          <w:b/>
          <w:color w:val="3B4259"/>
          <w:sz w:val="28"/>
        </w:rPr>
        <w:t>6. Material News &amp; Developments</w:t>
      </w:r>
    </w:p>
    <w:p>
      <w:r>
        <w:rPr>
          <w:rFonts w:ascii="Calibri" w:hAnsi="Calibri"/>
          <w:b/>
          <w:color w:val="525866"/>
          <w:sz w:val="22"/>
        </w:rPr>
        <w:t xml:space="preserve">Key Takeaway: </w:t>
      </w:r>
      <w:r>
        <w:rPr>
          <w:rFonts w:ascii="Calibri" w:hAnsi="Calibri"/>
          <w:color w:val="525866"/>
          <w:sz w:val="22"/>
        </w:rPr>
        <w:t xml:space="preserve">The most important development since Q1 earnings is the </w:t>
      </w:r>
      <w:r>
        <w:rPr>
          <w:rFonts w:ascii="Calibri" w:hAnsi="Calibri"/>
          <w:b/>
          <w:color w:val="525866"/>
          <w:sz w:val="22"/>
        </w:rPr>
        <w:t>Minnesota electric rate case verbal decision (June 18)</w:t>
      </w:r>
      <w:r>
        <w:rPr>
          <w:rFonts w:ascii="Calibri" w:hAnsi="Calibri"/>
          <w:color w:val="525866"/>
          <w:sz w:val="22"/>
        </w:rPr>
        <w:t xml:space="preserve"> — a constructive 9.60% ROE outcome that removes a key regulatory overhang and supports 2026 EPS delivery; the Colorado electric settlement and NM stipulation further de-risk the regulatory calendar.</w:t>
      </w:r>
    </w:p>
    <w:p>
      <w:pPr>
        <w:pStyle w:val="ListBullet"/>
        <w:ind w:left="360" w:hanging="360"/>
      </w:pPr>
      <w:r>
        <w:rPr>
          <w:rFonts w:ascii="Calibri" w:hAnsi="Calibri"/>
          <w:b/>
          <w:color w:val="525866"/>
          <w:sz w:val="22"/>
        </w:rPr>
        <w:t>July 29, 2026 — Board Appointment (Peter Carter, Delta Air Lines President):</w:t>
      </w:r>
      <w:r>
        <w:rPr>
          <w:rFonts w:ascii="Calibri" w:hAnsi="Calibri"/>
          <w:color w:val="525866"/>
          <w:sz w:val="22"/>
        </w:rPr>
        <w:t xml:space="preserve"> XEL appointed Peter Carter to its Board of Directors, expanding the director count. Implication: Incremental governance signal; no direct financial impact but adds operational/logistics expertise relevant to large infrastructure execution.</w:t>
      </w:r>
    </w:p>
    <w:p>
      <w:pPr>
        <w:pStyle w:val="ListBullet"/>
        <w:ind w:left="360" w:hanging="360"/>
      </w:pPr>
      <w:r>
        <w:rPr>
          <w:rFonts w:ascii="Calibri" w:hAnsi="Calibri"/>
          <w:b/>
          <w:color w:val="525866"/>
          <w:sz w:val="22"/>
        </w:rPr>
        <w:t>July 13, 2026 — Colorado Gas Rate Case Settlement:</w:t>
      </w:r>
      <w:r>
        <w:rPr>
          <w:rFonts w:ascii="Calibri" w:hAnsi="Calibri"/>
          <w:color w:val="525866"/>
          <w:sz w:val="22"/>
        </w:rPr>
        <w:t xml:space="preserve"> PSCo filed a non-unanimous settlement with CPUC Staff and multiple parties for a $123M revenue increase (7.5% total), 9.2% ROE, 54.5% equity ratio. Hearings July 2026; CPUC decision and rates expected Q4 2026. Implication: Constructive outcome below initial $190M ask; removes gas rate case uncertainty and supports 2026 EPS.</w:t>
      </w:r>
    </w:p>
    <w:p>
      <w:pPr>
        <w:pStyle w:val="ListBullet"/>
        <w:ind w:left="360" w:hanging="360"/>
      </w:pPr>
      <w:r>
        <w:rPr>
          <w:rFonts w:ascii="Calibri" w:hAnsi="Calibri"/>
          <w:b/>
          <w:color w:val="525866"/>
          <w:sz w:val="22"/>
        </w:rPr>
        <w:t>June 22, 2026 — Minnesota Electric Rate Case Final Order (8-K):</w:t>
      </w:r>
      <w:r>
        <w:rPr>
          <w:rFonts w:ascii="Calibri" w:hAnsi="Calibri"/>
          <w:color w:val="525866"/>
          <w:sz w:val="22"/>
        </w:rPr>
        <w:t xml:space="preserve"> MPUC issued verbal decision June 18 approving ~$211M revenue increase over two years (avg. 2.9%/yr), 9.60% ROE (up from 9.25%), 52.5% equity ratio maintained. Final written order expected July 31, 2026. Implication: </w:t>
      </w:r>
      <w:r>
        <w:rPr>
          <w:rFonts w:ascii="Calibri" w:hAnsi="Calibri"/>
          <w:b/>
          <w:color w:val="525866"/>
          <w:sz w:val="22"/>
        </w:rPr>
        <w:t>Key positive catalyst</w:t>
      </w:r>
      <w:r>
        <w:rPr>
          <w:rFonts w:ascii="Calibri" w:hAnsi="Calibri"/>
          <w:color w:val="525866"/>
          <w:sz w:val="22"/>
        </w:rPr>
        <w:t xml:space="preserve"> — ROE improvement and revenue recognition begin flowing through in H2 2026; XEL reaffirmed 2026 EPS guidance.</w:t>
      </w:r>
    </w:p>
    <w:p>
      <w:pPr>
        <w:pStyle w:val="ListBullet"/>
        <w:ind w:left="360" w:hanging="360"/>
      </w:pPr>
      <w:r>
        <w:rPr>
          <w:rFonts w:ascii="Calibri" w:hAnsi="Calibri"/>
          <w:b/>
          <w:color w:val="525866"/>
          <w:sz w:val="22"/>
        </w:rPr>
        <w:t>June 22, 2026 — New Mexico Electric Rate Case Stipulation (8-K):</w:t>
      </w:r>
      <w:r>
        <w:rPr>
          <w:rFonts w:ascii="Calibri" w:hAnsi="Calibri"/>
          <w:color w:val="525866"/>
          <w:sz w:val="22"/>
        </w:rPr>
        <w:t xml:space="preserve"> SPS filed a non-unanimous stipulation for $90M revenue increase (7.7% total), 9.5% ROE, 54.7% equity ratio. Hearing July 2026; NMPRC decision Q4 2026, rates December 2026. XEL reaffirmed 2026 EPS guidance. Implication: Constructive; below initial $168M ask but within plan.</w:t>
      </w:r>
    </w:p>
    <w:p>
      <w:pPr>
        <w:pStyle w:val="ListBullet"/>
        <w:ind w:left="360" w:hanging="360"/>
      </w:pPr>
      <w:r>
        <w:rPr>
          <w:rFonts w:ascii="Calibri" w:hAnsi="Calibri"/>
          <w:b/>
          <w:color w:val="525866"/>
          <w:sz w:val="22"/>
        </w:rPr>
        <w:t>June 2, 2026 — Colorado Electric Rate Case Settlement (8-K):</w:t>
      </w:r>
      <w:r>
        <w:rPr>
          <w:rFonts w:ascii="Calibri" w:hAnsi="Calibri"/>
          <w:color w:val="525866"/>
          <w:sz w:val="22"/>
        </w:rPr>
        <w:t xml:space="preserve"> PSCo filed non-unanimous settlement for $225M revenue increase (6.3%), 9.3% ROE, 54.5% equity ratio. Opposed by AARP, City of Boulder, and Colorado OCA. Hearings June 2026; CPUC decision and rates expected Q3 2026. Implication: </w:t>
      </w:r>
      <w:r>
        <w:rPr>
          <w:rFonts w:ascii="Calibri" w:hAnsi="Calibri"/>
          <w:b/>
          <w:color w:val="525866"/>
          <w:sz w:val="22"/>
        </w:rPr>
        <w:t>Largest Colorado electric rate increase ever</w:t>
      </w:r>
      <w:r>
        <w:rPr>
          <w:rFonts w:ascii="Calibri" w:hAnsi="Calibri"/>
          <w:color w:val="525866"/>
          <w:sz w:val="22"/>
        </w:rPr>
        <w:t>; below initial $356M ask but preserves EPS guidance; Comanche 3 performance framework adds modest risk.</w:t>
      </w:r>
    </w:p>
    <w:p>
      <w:pPr>
        <w:pStyle w:val="ListBullet"/>
        <w:ind w:left="360" w:hanging="360"/>
      </w:pPr>
      <w:r>
        <w:rPr>
          <w:rFonts w:ascii="Calibri" w:hAnsi="Calibri"/>
          <w:b/>
          <w:color w:val="525866"/>
          <w:sz w:val="22"/>
        </w:rPr>
        <w:t>May 11, 2026 — NSP-Minnesota Gas Rate Case Settlement (8-K):</w:t>
      </w:r>
      <w:r>
        <w:rPr>
          <w:rFonts w:ascii="Calibri" w:hAnsi="Calibri"/>
          <w:color w:val="525866"/>
          <w:sz w:val="22"/>
        </w:rPr>
        <w:t xml:space="preserve"> NSP-Minnesota reached a $38M gas rate case settlement. Implication: Constructive; removes another regulatory overhang.</w:t>
      </w:r>
    </w:p>
    <w:p>
      <w:pPr>
        <w:pStyle w:val="ListBullet"/>
        <w:ind w:left="360" w:hanging="360"/>
      </w:pPr>
      <w:r>
        <w:rPr>
          <w:rFonts w:ascii="Calibri" w:hAnsi="Calibri"/>
          <w:b/>
          <w:color w:val="525866"/>
          <w:sz w:val="22"/>
        </w:rPr>
        <w:t>May 5, 2026 — New Mexico Intervenors Propose Steep Cuts (8-K):</w:t>
      </w:r>
      <w:r>
        <w:rPr>
          <w:rFonts w:ascii="Calibri" w:hAnsi="Calibri"/>
          <w:color w:val="525866"/>
          <w:sz w:val="22"/>
        </w:rPr>
        <w:t xml:space="preserve"> Intervenors proposed significant reductions to SPS's rate hike request. Implication: Created near-term uncertainty; subsequently resolved via June 22 stipulation.</w:t>
      </w:r>
    </w:p>
    <w:p>
      <w:pPr>
        <w:pStyle w:val="ListBullet"/>
        <w:ind w:left="360" w:hanging="360"/>
      </w:pPr>
      <w:r>
        <w:rPr>
          <w:rFonts w:ascii="Calibri" w:hAnsi="Calibri"/>
          <w:b/>
          <w:color w:val="525866"/>
          <w:sz w:val="22"/>
        </w:rPr>
        <w:t>May 1, 2026 — $4.3B ATM Equity Program Established (8-K):</w:t>
      </w:r>
      <w:r>
        <w:rPr>
          <w:rFonts w:ascii="Calibri" w:hAnsi="Calibri"/>
          <w:color w:val="525866"/>
          <w:sz w:val="22"/>
        </w:rPr>
        <w:t xml:space="preserve"> XEL established a new $4.3B at-the-market equity program. Implication: Provides flexible, efficient equity financing runway to fund the $14B 2026 capital plan; combined with Q1 forward contracts ($1B+) and $800M junior subordinated note, addresses over half of the $7B five-year equity need.</w:t>
      </w:r>
    </w:p>
    <w:p>
      <w:pPr>
        <w:pStyle w:val="ListBullet"/>
        <w:ind w:left="360" w:hanging="360"/>
      </w:pPr>
      <w:r>
        <w:rPr>
          <w:rFonts w:ascii="Calibri" w:hAnsi="Calibri"/>
          <w:b/>
          <w:color w:val="525866"/>
          <w:sz w:val="22"/>
        </w:rPr>
        <w:t>April 30, 2026 — Google Data Center ESA Details Disclosed (Q1 Earnings Call):</w:t>
      </w:r>
      <w:r>
        <w:rPr>
          <w:rFonts w:ascii="Calibri" w:hAnsi="Calibri"/>
          <w:color w:val="525866"/>
          <w:sz w:val="22"/>
        </w:rPr>
        <w:t xml:space="preserve"> XEL confirmed 15-year ESA with Google for 1,900 MW of new wind/solar and long-duration iron-air battery storage (Form Energy); customer-funded generation; estimated $1B–$1.5B in customer savings over the term. NextEra MoU converted to definitive JDA (April), co-developing 2 GW of data center capacity. Implication: </w:t>
      </w:r>
      <w:r>
        <w:rPr>
          <w:rFonts w:ascii="Calibri" w:hAnsi="Calibri"/>
          <w:b/>
          <w:color w:val="525866"/>
          <w:sz w:val="22"/>
        </w:rPr>
        <w:t>Landmark transaction</w:t>
      </w:r>
      <w:r>
        <w:rPr>
          <w:rFonts w:ascii="Calibri" w:hAnsi="Calibri"/>
          <w:color w:val="525866"/>
          <w:sz w:val="22"/>
        </w:rPr>
        <w:t xml:space="preserve"> that de-risks the data center growth thesis and provides line of sight to $7B+ of the $10B+ incremental investment opportunity.</w:t>
      </w:r>
    </w:p>
    <w:p>
      <w:pPr>
        <w:pStyle w:val="ListBullet"/>
        <w:ind w:left="360" w:hanging="360"/>
      </w:pPr>
      <w:r>
        <w:rPr>
          <w:rFonts w:ascii="Calibri" w:hAnsi="Calibri"/>
          <w:b/>
          <w:color w:val="525866"/>
          <w:sz w:val="22"/>
        </w:rPr>
        <w:t>Analyst Rating Changes (post-Q1):</w:t>
      </w:r>
      <w:r>
        <w:rPr>
          <w:rFonts w:ascii="Calibri" w:hAnsi="Calibri"/>
          <w:color w:val="525866"/>
          <w:sz w:val="22"/>
        </w:rPr>
        <w:t xml:space="preserve"> Barclays raised PT from $87 to $90 (Overweight, July 9); Jefferies set $101 PT (July 7); New Street Research set $91 PT (June 23). Consensus rating: Buy, avg. PT ~$92.65. Implication: Sell-side constructive; PT upgrades reflect rate case progress and data center pipeline visibility.</w:t>
      </w:r>
    </w:p>
    <w:p>
      <w:r>
        <w:br w:type="page"/>
      </w:r>
    </w:p>
    <w:p>
      <w:pPr>
        <w:pStyle w:val="Heading2"/>
      </w:pPr>
      <w:r>
        <w:rPr>
          <w:rFonts w:ascii="Calibri" w:hAnsi="Calibri"/>
          <w:b/>
          <w:color w:val="3B4259"/>
          <w:sz w:val="28"/>
        </w:rPr>
        <w:t>7. Peer Commentaries — Q2 2026 Read-Throughs</w:t>
      </w:r>
    </w:p>
    <w:p>
      <w:r>
        <w:rPr>
          <w:rFonts w:ascii="Calibri" w:hAnsi="Calibri"/>
          <w:b/>
          <w:color w:val="525866"/>
          <w:sz w:val="22"/>
        </w:rPr>
        <w:t xml:space="preserve">Key Takeaway: </w:t>
      </w:r>
      <w:r>
        <w:rPr>
          <w:rFonts w:ascii="Calibri" w:hAnsi="Calibri"/>
          <w:color w:val="525866"/>
          <w:sz w:val="22"/>
        </w:rPr>
        <w:t xml:space="preserve">Peers reporting Q2 2026 results (NEE, DTE, WEC, ETR, CNP, CMS, PCG) collectively signal </w:t>
      </w:r>
      <w:r>
        <w:rPr>
          <w:rFonts w:ascii="Calibri" w:hAnsi="Calibri"/>
          <w:b/>
          <w:color w:val="525866"/>
          <w:sz w:val="22"/>
        </w:rPr>
        <w:t>strong data center demand momentum, constructive regulatory environments, and on-track EPS delivery</w:t>
      </w:r>
      <w:r>
        <w:rPr>
          <w:rFonts w:ascii="Calibri" w:hAnsi="Calibri"/>
          <w:color w:val="525866"/>
          <w:sz w:val="22"/>
        </w:rPr>
        <w:t xml:space="preserve"> — all positive read-throughs for XEL's Q2 print and its data center growth narrative heading into the call.</w:t>
      </w:r>
    </w:p>
    <w:p>
      <w:r>
        <w:rPr>
          <w:rFonts w:ascii="Calibri" w:hAnsi="Calibri"/>
          <w:b/>
          <w:color w:val="525866"/>
          <w:sz w:val="22"/>
        </w:rPr>
        <w:t xml:space="preserve">Note: </w:t>
      </w:r>
      <w:r>
        <w:rPr>
          <w:rFonts w:ascii="Calibri" w:hAnsi="Calibri"/>
          <w:i/>
          <w:color w:val="525866"/>
          <w:sz w:val="22"/>
        </w:rPr>
        <w:t>Only Q2 2026 earnings calls (same reporting quarter as XEL's upcoming print) and post-Q1 2026 commentary about Q2/forward are included below. Q1 2026 peer earnings calls (AEP, PPL, DUK, etc.) are included only where they contain forward-looking commentary directly relevant to XEL's Q2 2026 setup.</w:t>
      </w:r>
    </w:p>
    <w:p>
      <w:pPr>
        <w:pStyle w:val="ListBullet"/>
        <w:ind w:left="360" w:hanging="360"/>
      </w:pPr>
      <w:r>
        <w:rPr>
          <w:rFonts w:ascii="Calibri" w:hAnsi="Calibri"/>
          <w:b/>
          <w:color w:val="525866"/>
          <w:sz w:val="22"/>
        </w:rPr>
        <w:t>NextEra Energy (NEE) — Q2 2026 (July 24, 2026):</w:t>
      </w:r>
      <w:r>
        <w:rPr>
          <w:rFonts w:ascii="Calibri" w:hAnsi="Calibri"/>
          <w:color w:val="525866"/>
          <w:sz w:val="22"/>
        </w:rPr>
        <w:t xml:space="preserve"> NEE delivered Q2 adjusted EPS of $1.15 (+9.8% YoY) and reaffirmed 2026 EPS guidance of $3.92–$4.02, targeting the high end. FPL updated large load expectations from 6 GW to 8 GW by 2032 as part of its new four-year rate agreement. Energy Resources added 3.6 GW of renewables/storage to backlog (second-largest quarter ever). NEE confirmed its definitive JDA with XEL (NextEra Energy Transmission) is already developing solutions for 2 GW of data center capacity. </w:t>
      </w:r>
      <w:r>
        <w:rPr>
          <w:rFonts w:ascii="Calibri" w:hAnsi="Calibri"/>
          <w:b/>
          <w:color w:val="525866"/>
          <w:sz w:val="22"/>
        </w:rPr>
        <w:t xml:space="preserve">XEL Read-Through: </w:t>
      </w:r>
      <w:r>
        <w:rPr>
          <w:rFonts w:ascii="Calibri" w:hAnsi="Calibri"/>
          <w:color w:val="525866"/>
          <w:sz w:val="22"/>
        </w:rPr>
        <w:t>Hyperscaler demand remains robust; NEE's JDA with XEL is actively progressing, supporting XEL's 3 GW year-end 2026 target. NEE's strong renewables backlog and recontracting at +$20/MWh premium validates XEL's generation investment thesis.</w:t>
      </w:r>
    </w:p>
    <w:p>
      <w:pPr>
        <w:pStyle w:val="ListBullet"/>
        <w:ind w:left="360" w:hanging="360"/>
      </w:pPr>
      <w:r>
        <w:rPr>
          <w:rFonts w:ascii="Calibri" w:hAnsi="Calibri"/>
          <w:b/>
          <w:color w:val="525866"/>
          <w:sz w:val="22"/>
        </w:rPr>
        <w:t>DTE Energy (DTE) — Q2 2026 (July 28, 2026):</w:t>
      </w:r>
      <w:r>
        <w:rPr>
          <w:rFonts w:ascii="Calibri" w:hAnsi="Calibri"/>
          <w:color w:val="525866"/>
          <w:sz w:val="22"/>
        </w:rPr>
        <w:t xml:space="preserve"> DTE reported Q2 operating EPS of $1.32 and is confident in reaching the high end of its 2026 guidance range. The 1.4 GW Oracle Data Center is fully approved and under construction; Google 1 GW data center agreement submitted to MPSC for approval. DTE's pipeline stands at 5–6 GW of additional opportunities with ~2 GW in advanced discussions; targeting another agreement by year-end 2026. Large load tariff moving through approval process. </w:t>
      </w:r>
      <w:r>
        <w:rPr>
          <w:rFonts w:ascii="Calibri" w:hAnsi="Calibri"/>
          <w:b/>
          <w:color w:val="525866"/>
          <w:sz w:val="22"/>
        </w:rPr>
        <w:t xml:space="preserve">XEL Read-Through: </w:t>
      </w:r>
      <w:r>
        <w:rPr>
          <w:rFonts w:ascii="Calibri" w:hAnsi="Calibri"/>
          <w:color w:val="525866"/>
          <w:sz w:val="22"/>
        </w:rPr>
        <w:t>DTE's data center pipeline momentum (Oracle + Google + 5–6 GW pipeline) mirrors XEL's trajectory. DTE's confidence in securing another agreement by year-end 2026 is a positive signal for XEL's own 3 GW target. Customer-funded generation model (similar to XEL's Google ESA) is gaining regulatory acceptance.</w:t>
      </w:r>
    </w:p>
    <w:p>
      <w:pPr>
        <w:pStyle w:val="ListBullet"/>
        <w:ind w:left="360" w:hanging="360"/>
      </w:pPr>
      <w:r>
        <w:rPr>
          <w:rFonts w:ascii="Calibri" w:hAnsi="Calibri"/>
          <w:b/>
          <w:color w:val="525866"/>
          <w:sz w:val="22"/>
        </w:rPr>
        <w:t>WEC Energy Group (WEC) — Q2 2026 (July 29, 2026):</w:t>
      </w:r>
      <w:r>
        <w:rPr>
          <w:rFonts w:ascii="Calibri" w:hAnsi="Calibri"/>
          <w:color w:val="525866"/>
          <w:sz w:val="22"/>
        </w:rPr>
        <w:t xml:space="preserve"> WEC reported Q2 EPS of $0.91 (+$0.15 YoY) and reaffirmed 2026 guidance of $5.51–$5.61. Weather-normal electric retail sales grew 4.2%, driven by VLC (very large customer) growth. Microsoft (2,600+ acres, I-94 corridor) and Oracle/Vantage (1,900 acres, 1.3 GW forecast) data center projects progressing on schedule. WEC's VLC tariff (written order May 2026) ensures full cost recovery and is described as 'one of the most protective in the country.' WEC is in discussions with additional 400–500 MW customers. </w:t>
      </w:r>
      <w:r>
        <w:rPr>
          <w:rFonts w:ascii="Calibri" w:hAnsi="Calibri"/>
          <w:b/>
          <w:color w:val="525866"/>
          <w:sz w:val="22"/>
        </w:rPr>
        <w:t xml:space="preserve">XEL Read-Through: </w:t>
      </w:r>
      <w:r>
        <w:rPr>
          <w:rFonts w:ascii="Calibri" w:hAnsi="Calibri"/>
          <w:color w:val="525866"/>
          <w:sz w:val="22"/>
        </w:rPr>
        <w:t>WEC's 4.2% weather-normal electric sales growth from data centers is a direct positive read-through for XEL's +3% FY 2026 electric sales guide. WEC's VLC tariff framework (similar to XEL's large load tariff filings in CO, TX, NM, WI) is gaining regulatory approval, validating XEL's approach. Oracle's commitment to WEC (despite credit concerns) is a positive signal for large load contract durability.</w:t>
      </w:r>
    </w:p>
    <w:p>
      <w:pPr>
        <w:pStyle w:val="ListBullet"/>
        <w:ind w:left="360" w:hanging="360"/>
      </w:pPr>
      <w:r>
        <w:rPr>
          <w:rFonts w:ascii="Calibri" w:hAnsi="Calibri"/>
          <w:b/>
          <w:color w:val="525866"/>
          <w:sz w:val="22"/>
        </w:rPr>
        <w:t>Entergy (ETR) — Q2 2026 (July 29, 2026):</w:t>
      </w:r>
      <w:r>
        <w:rPr>
          <w:rFonts w:ascii="Calibri" w:hAnsi="Calibri"/>
          <w:color w:val="525866"/>
          <w:sz w:val="22"/>
        </w:rPr>
        <w:t xml:space="preserve"> ETR reported Q2 adjusted EPS of $1.03 (slightly below prior year due to weather normalization) and affirmed 2026 guidance and outlooks through 2030. Industrial sales grew 10% YoY, driven by new and expansion projects. ETR has a 7–12 GW hyperscale data center pipeline; AWS and Meta are active customers with interest in expanding beyond current footprints. ETR is building over 1,000 miles of transmission infrastructure. </w:t>
      </w:r>
      <w:r>
        <w:rPr>
          <w:rFonts w:ascii="Calibri" w:hAnsi="Calibri"/>
          <w:b/>
          <w:color w:val="525866"/>
          <w:sz w:val="22"/>
        </w:rPr>
        <w:t xml:space="preserve">XEL Read-Through: </w:t>
      </w:r>
      <w:r>
        <w:rPr>
          <w:rFonts w:ascii="Calibri" w:hAnsi="Calibri"/>
          <w:color w:val="525866"/>
          <w:sz w:val="22"/>
        </w:rPr>
        <w:t>ETR's 10% industrial sales growth and active hyperscaler pipeline (AWS, Meta) confirm broad-based large load demand across the utility sector. ETR's weather normalization headwind in Q2 (similar to XEL's Q1 weather headwind from warmest Colorado winter on record) is a reminder that weather remains a key swing factor for XEL's Q2 print.</w:t>
      </w:r>
    </w:p>
    <w:p>
      <w:pPr>
        <w:pStyle w:val="ListBullet"/>
        <w:ind w:left="360" w:hanging="360"/>
      </w:pPr>
      <w:r>
        <w:rPr>
          <w:rFonts w:ascii="Calibri" w:hAnsi="Calibri"/>
          <w:b/>
          <w:color w:val="525866"/>
          <w:sz w:val="22"/>
        </w:rPr>
        <w:t>CenterPoint Energy (CNP) — Q2 2026 (July 28, 2026):</w:t>
      </w:r>
      <w:r>
        <w:rPr>
          <w:rFonts w:ascii="Calibri" w:hAnsi="Calibri"/>
          <w:color w:val="525866"/>
          <w:sz w:val="22"/>
        </w:rPr>
        <w:t xml:space="preserve"> CNP reported Q2 non-GAAP EPS of $0.40 and reiterated 2026 guidance of $1.89–$1.91 (8% growth at midpoint). CNP submitted 17+ GW of large load projects through ERCOT's Batch Zero process, with 14 GW eligible; expects 50% load growth by year-end 2029. Increased capital plan by $1.2B (Houston electric system upgrades + Downtown Houston Revitalization). Residential/commercial customers in Texas estimated to save $5B+ over the next decade from large load additions. </w:t>
      </w:r>
      <w:r>
        <w:rPr>
          <w:rFonts w:ascii="Calibri" w:hAnsi="Calibri"/>
          <w:b/>
          <w:color w:val="525866"/>
          <w:sz w:val="22"/>
        </w:rPr>
        <w:t xml:space="preserve">XEL Read-Through: </w:t>
      </w:r>
      <w:r>
        <w:rPr>
          <w:rFonts w:ascii="Calibri" w:hAnsi="Calibri"/>
          <w:color w:val="525866"/>
          <w:sz w:val="22"/>
        </w:rPr>
        <w:t>CNP's massive ERCOT large load pipeline (14 GW eligible) and customer affordability benefits ($5B savings) validate XEL's customer-funded generation model and affordability messaging. CNP's $1.2B capital plan increase (funded without additional equity) is a positive signal for XEL's ability to fund incremental data center capex.</w:t>
      </w:r>
    </w:p>
    <w:p>
      <w:pPr>
        <w:pStyle w:val="ListBullet"/>
        <w:ind w:left="360" w:hanging="360"/>
      </w:pPr>
      <w:r>
        <w:rPr>
          <w:rFonts w:ascii="Calibri" w:hAnsi="Calibri"/>
          <w:b/>
          <w:color w:val="525866"/>
          <w:sz w:val="22"/>
        </w:rPr>
        <w:t>CMS Energy (CMS) — Q2 2026 (July 28, 2026):</w:t>
      </w:r>
      <w:r>
        <w:rPr>
          <w:rFonts w:ascii="Calibri" w:hAnsi="Calibri"/>
          <w:color w:val="525866"/>
          <w:sz w:val="22"/>
        </w:rPr>
        <w:t xml:space="preserve"> CMS reported H1 2026 adjusted EPS of $1.50 and reaffirmed 2026 guidance of $3.83–$3.90 with confidence toward the high end; introduced 2027 guidance of $4.17. CMS reached an agreement under its large load tariff (Extraordinary Facilities Agreement + rate agreement), described as 'one of the most constructive frameworks in the country.' Every GW of new large load is expected to provide ~$7.50/month of bill benefit for average residential customers. CMS anticipates 2–3% sales growth. </w:t>
      </w:r>
      <w:r>
        <w:rPr>
          <w:rFonts w:ascii="Calibri" w:hAnsi="Calibri"/>
          <w:b/>
          <w:color w:val="525866"/>
          <w:sz w:val="22"/>
        </w:rPr>
        <w:t xml:space="preserve">XEL Read-Through: </w:t>
      </w:r>
      <w:r>
        <w:rPr>
          <w:rFonts w:ascii="Calibri" w:hAnsi="Calibri"/>
          <w:color w:val="525866"/>
          <w:sz w:val="22"/>
        </w:rPr>
        <w:t>CMS's large load tariff agreement (first under its framework) validates the regulatory model XEL is pursuing in CO, TX, NM, and WI. The $7.50/month residential bill benefit per GW is consistent with XEL's customer affordability messaging. CMS's 2–3% sales growth guidance is directionally consistent with XEL's +3% electric sales guide.</w:t>
      </w:r>
    </w:p>
    <w:p>
      <w:pPr>
        <w:pStyle w:val="ListBullet"/>
        <w:ind w:left="360" w:hanging="360"/>
      </w:pPr>
      <w:r>
        <w:rPr>
          <w:rFonts w:ascii="Calibri" w:hAnsi="Calibri"/>
          <w:b/>
          <w:color w:val="525866"/>
          <w:sz w:val="22"/>
        </w:rPr>
        <w:t>PG&amp;E (PCG) — Q2 2026 (July 23, 2026):</w:t>
      </w:r>
      <w:r>
        <w:rPr>
          <w:rFonts w:ascii="Calibri" w:hAnsi="Calibri"/>
          <w:color w:val="525866"/>
          <w:sz w:val="22"/>
        </w:rPr>
        <w:t xml:space="preserve"> PCG reported Q2 core EPS of $0.40 and reaffirmed 2026 guidance of $1.64–$1.66 (10% growth at midpoint); projects 9%+ annual EPS growth 2027–2030. Data center pipeline grew to 12+ GW (from 10 GW last quarter), with ~1.8 GW expected online by 2030. PCG is in its fourth year of no major fires linked to PG&amp;E equipment. S&amp;P upgraded PCG's credit rating post-Q1 (one notch below investment grade). </w:t>
      </w:r>
      <w:r>
        <w:rPr>
          <w:rFonts w:ascii="Calibri" w:hAnsi="Calibri"/>
          <w:b/>
          <w:color w:val="525866"/>
          <w:sz w:val="22"/>
        </w:rPr>
        <w:t xml:space="preserve">XEL Read-Through: </w:t>
      </w:r>
      <w:r>
        <w:rPr>
          <w:rFonts w:ascii="Calibri" w:hAnsi="Calibri"/>
          <w:color w:val="525866"/>
          <w:sz w:val="22"/>
        </w:rPr>
        <w:t>PCG's pipeline growth to 12+ GW confirms hyperscaler demand is accelerating across the sector. PCG's wildfire safety track record (4 years, no major fires) is a positive read-through for XEL's own wildfire mitigation progress (Smokehouse Creek settlements progressing, Marshall Fire nearly complete). PCG's credit upgrade validates the sector's improving financial profile.</w:t>
      </w:r>
    </w:p>
    <w:p>
      <w:pPr>
        <w:pStyle w:val="ListBullet"/>
        <w:ind w:left="360" w:hanging="360"/>
      </w:pPr>
      <w:r>
        <w:rPr>
          <w:rFonts w:ascii="Calibri" w:hAnsi="Calibri"/>
          <w:b/>
          <w:color w:val="525866"/>
          <w:sz w:val="22"/>
        </w:rPr>
        <w:t>American Electric Power (AEP) — Q1 2026 (May 5, 2026) [Post-Q1 Forward Commentary]:</w:t>
      </w:r>
      <w:r>
        <w:rPr>
          <w:rFonts w:ascii="Calibri" w:hAnsi="Calibri"/>
          <w:color w:val="525866"/>
          <w:sz w:val="22"/>
        </w:rPr>
        <w:t xml:space="preserve"> AEP reported Q1 operating EPS of $1.64 and reaffirmed 2026 guidance of $6.15–$6.45. Contracted incremental load grew to 63 GW by 2030 (from 56 GW last quarter), with ~90% from data centers/hyperscalers. AEP increased its 5-year capital plan to $78B (from $72B), with $33B in transmission (42% of total). AEP secured new 765 kV transmission awards in SPP (315 miles, $1.6B) and PJM (330 miles, $1.9B). </w:t>
      </w:r>
      <w:r>
        <w:rPr>
          <w:rFonts w:ascii="Calibri" w:hAnsi="Calibri"/>
          <w:b/>
          <w:color w:val="525866"/>
          <w:sz w:val="22"/>
        </w:rPr>
        <w:t xml:space="preserve">XEL Read-Through: </w:t>
      </w:r>
      <w:r>
        <w:rPr>
          <w:rFonts w:ascii="Calibri" w:hAnsi="Calibri"/>
          <w:color w:val="525866"/>
          <w:sz w:val="22"/>
        </w:rPr>
        <w:t>AEP's 63 GW contracted load pipeline and $78B capital plan confirm the scale of the data center infrastructure buildout. AEP's 765 kV transmission awards (including SPP, where XEL's SPS subsidiary operates) are directly relevant to XEL's own 765 kV Crawfish Draw to Phantom transmission line ($1.5B). AEP's constructive regulatory outcomes across multiple states (ROE increases in OH, AR, WV) are a positive read-through for XEL's pending rate cases.</w:t>
      </w:r>
    </w:p>
    <w:p>
      <w:r>
        <w:br w:type="page"/>
      </w:r>
    </w:p>
    <w:p>
      <w:pPr>
        <w:pStyle w:val="Heading2"/>
      </w:pPr>
      <w:r>
        <w:rPr>
          <w:rFonts w:ascii="Calibri" w:hAnsi="Calibri"/>
          <w:b/>
          <w:color w:val="3B4259"/>
          <w:sz w:val="28"/>
        </w:rPr>
        <w:t>8. Insider Transaction Activity</w:t>
      </w:r>
    </w:p>
    <w:p>
      <w:r>
        <w:rPr>
          <w:rFonts w:ascii="Calibri" w:hAnsi="Calibri"/>
          <w:b/>
          <w:color w:val="525866"/>
          <w:sz w:val="22"/>
        </w:rPr>
        <w:t xml:space="preserve">Key Takeaway: </w:t>
      </w:r>
      <w:r>
        <w:rPr>
          <w:rFonts w:ascii="Calibri" w:hAnsi="Calibri"/>
          <w:color w:val="525866"/>
          <w:sz w:val="22"/>
        </w:rPr>
        <w:t xml:space="preserve">No open-market buys or sells by executives or directors since the Q1 2026 earnings date — all transactions are </w:t>
      </w:r>
      <w:r>
        <w:rPr>
          <w:rFonts w:ascii="Calibri" w:hAnsi="Calibri"/>
          <w:b/>
          <w:color w:val="525866"/>
          <w:sz w:val="22"/>
        </w:rPr>
        <w:t>routine director compensation grants (Form 4 Code A)</w:t>
      </w:r>
      <w:r>
        <w:rPr>
          <w:rFonts w:ascii="Calibri" w:hAnsi="Calibri"/>
          <w:color w:val="525866"/>
          <w:sz w:val="22"/>
        </w:rPr>
        <w:t>, which carry no informational signal. The absence of discretionary selling by management is a mild positive.</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tcPr>
          <w:p>
            <w:r>
              <w:rPr>
                <w:rFonts w:ascii="Calibri" w:hAnsi="Calibri"/>
                <w:b/>
                <w:sz w:val="22"/>
              </w:rPr>
              <w:t>Name</w:t>
            </w:r>
          </w:p>
        </w:tc>
        <w:tc>
          <w:tcPr>
            <w:tcW w:type="dxa" w:w="1440"/>
          </w:tcPr>
          <w:p>
            <w:r>
              <w:rPr>
                <w:rFonts w:ascii="Calibri" w:hAnsi="Calibri"/>
                <w:b/>
                <w:sz w:val="22"/>
              </w:rPr>
              <w:t>Title</w:t>
            </w:r>
          </w:p>
        </w:tc>
        <w:tc>
          <w:tcPr>
            <w:tcW w:type="dxa" w:w="1440"/>
          </w:tcPr>
          <w:p>
            <w:r>
              <w:rPr>
                <w:rFonts w:ascii="Calibri" w:hAnsi="Calibri"/>
                <w:b/>
                <w:sz w:val="22"/>
              </w:rPr>
              <w:t>Transaction Type</w:t>
            </w:r>
          </w:p>
        </w:tc>
        <w:tc>
          <w:tcPr>
            <w:tcW w:type="dxa" w:w="1440"/>
          </w:tcPr>
          <w:p>
            <w:r>
              <w:rPr>
                <w:rFonts w:ascii="Calibri" w:hAnsi="Calibri"/>
                <w:b/>
                <w:sz w:val="22"/>
              </w:rPr>
              <w:t>Shares</w:t>
            </w:r>
          </w:p>
        </w:tc>
        <w:tc>
          <w:tcPr>
            <w:tcW w:type="dxa" w:w="1440"/>
          </w:tcPr>
          <w:p>
            <w:r>
              <w:rPr>
                <w:rFonts w:ascii="Calibri" w:hAnsi="Calibri"/>
                <w:b/>
                <w:sz w:val="22"/>
              </w:rPr>
              <w:t>Date</w:t>
            </w:r>
          </w:p>
        </w:tc>
        <w:tc>
          <w:tcPr>
            <w:tcW w:type="dxa" w:w="1440"/>
          </w:tcPr>
          <w:p>
            <w:r>
              <w:rPr>
                <w:rFonts w:ascii="Calibri" w:hAnsi="Calibri"/>
                <w:b/>
                <w:sz w:val="22"/>
              </w:rPr>
              <w:t>Note</w:t>
            </w:r>
          </w:p>
        </w:tc>
      </w:tr>
      <w:tr>
        <w:tc>
          <w:tcPr>
            <w:tcW w:type="dxa" w:w="1440"/>
          </w:tcPr>
          <w:p>
            <w:r>
              <w:rPr>
                <w:rFonts w:ascii="Calibri" w:hAnsi="Calibri"/>
                <w:sz w:val="22"/>
              </w:rPr>
              <w:t>Burkhart, Megan D.</w:t>
            </w:r>
          </w:p>
        </w:tc>
        <w:tc>
          <w:tcPr>
            <w:tcW w:type="dxa" w:w="1440"/>
          </w:tcPr>
          <w:p>
            <w:r>
              <w:rPr>
                <w:rFonts w:ascii="Calibri" w:hAnsi="Calibri"/>
                <w:sz w:val="22"/>
              </w:rPr>
              <w:t>Director</w:t>
            </w:r>
          </w:p>
        </w:tc>
        <w:tc>
          <w:tcPr>
            <w:tcW w:type="dxa" w:w="1440"/>
          </w:tcPr>
          <w:p>
            <w:r>
              <w:rPr>
                <w:rFonts w:ascii="Calibri" w:hAnsi="Calibri"/>
                <w:sz w:val="22"/>
              </w:rPr>
              <w:t>Director Compensation Grant</w:t>
            </w:r>
          </w:p>
        </w:tc>
        <w:tc>
          <w:tcPr>
            <w:tcW w:type="dxa" w:w="1440"/>
          </w:tcPr>
          <w:p>
            <w:r>
              <w:rPr>
                <w:rFonts w:ascii="Calibri" w:hAnsi="Calibri"/>
                <w:sz w:val="22"/>
              </w:rPr>
              <w:t>583.7</w:t>
            </w:r>
          </w:p>
        </w:tc>
        <w:tc>
          <w:tcPr>
            <w:tcW w:type="dxa" w:w="1440"/>
          </w:tcPr>
          <w:p>
            <w:r>
              <w:rPr>
                <w:rFonts w:ascii="Calibri" w:hAnsi="Calibri"/>
                <w:sz w:val="22"/>
              </w:rPr>
              <w:t>Jun 28, 2026</w:t>
            </w:r>
          </w:p>
        </w:tc>
        <w:tc>
          <w:tcPr>
            <w:tcW w:type="dxa" w:w="1440"/>
          </w:tcPr>
          <w:p>
            <w:r>
              <w:rPr>
                <w:rFonts w:ascii="Calibri" w:hAnsi="Calibri"/>
                <w:sz w:val="22"/>
              </w:rPr>
              <w:t>Routine annual director equity grant; no informational signal</w:t>
            </w:r>
          </w:p>
        </w:tc>
      </w:tr>
      <w:tr>
        <w:tc>
          <w:tcPr>
            <w:tcW w:type="dxa" w:w="1440"/>
          </w:tcPr>
          <w:p>
            <w:r>
              <w:rPr>
                <w:rFonts w:ascii="Calibri" w:hAnsi="Calibri"/>
                <w:sz w:val="22"/>
              </w:rPr>
              <w:t>Casey, Lynn</w:t>
            </w:r>
          </w:p>
        </w:tc>
        <w:tc>
          <w:tcPr>
            <w:tcW w:type="dxa" w:w="1440"/>
          </w:tcPr>
          <w:p>
            <w:r>
              <w:rPr>
                <w:rFonts w:ascii="Calibri" w:hAnsi="Calibri"/>
                <w:sz w:val="22"/>
              </w:rPr>
              <w:t>Director</w:t>
            </w:r>
          </w:p>
        </w:tc>
        <w:tc>
          <w:tcPr>
            <w:tcW w:type="dxa" w:w="1440"/>
          </w:tcPr>
          <w:p>
            <w:r>
              <w:rPr>
                <w:rFonts w:ascii="Calibri" w:hAnsi="Calibri"/>
                <w:sz w:val="22"/>
              </w:rPr>
              <w:t>Director Compensation Grant</w:t>
            </w:r>
          </w:p>
        </w:tc>
        <w:tc>
          <w:tcPr>
            <w:tcW w:type="dxa" w:w="1440"/>
          </w:tcPr>
          <w:p>
            <w:r>
              <w:rPr>
                <w:rFonts w:ascii="Calibri" w:hAnsi="Calibri"/>
                <w:sz w:val="22"/>
              </w:rPr>
              <w:t>492.5</w:t>
            </w:r>
          </w:p>
        </w:tc>
        <w:tc>
          <w:tcPr>
            <w:tcW w:type="dxa" w:w="1440"/>
          </w:tcPr>
          <w:p>
            <w:r>
              <w:rPr>
                <w:rFonts w:ascii="Calibri" w:hAnsi="Calibri"/>
                <w:sz w:val="22"/>
              </w:rPr>
              <w:t>Jun 28, 2026</w:t>
            </w:r>
          </w:p>
        </w:tc>
        <w:tc>
          <w:tcPr>
            <w:tcW w:type="dxa" w:w="1440"/>
          </w:tcPr>
          <w:p>
            <w:r>
              <w:rPr>
                <w:rFonts w:ascii="Calibri" w:hAnsi="Calibri"/>
                <w:sz w:val="22"/>
              </w:rPr>
              <w:t>Routine annual director equity grant; no informational signal</w:t>
            </w:r>
          </w:p>
        </w:tc>
      </w:tr>
      <w:tr>
        <w:tc>
          <w:tcPr>
            <w:tcW w:type="dxa" w:w="1440"/>
          </w:tcPr>
          <w:p>
            <w:r>
              <w:rPr>
                <w:rFonts w:ascii="Calibri" w:hAnsi="Calibri"/>
                <w:sz w:val="22"/>
              </w:rPr>
              <w:t>Kampling, Patricia L.</w:t>
            </w:r>
          </w:p>
        </w:tc>
        <w:tc>
          <w:tcPr>
            <w:tcW w:type="dxa" w:w="1440"/>
          </w:tcPr>
          <w:p>
            <w:r>
              <w:rPr>
                <w:rFonts w:ascii="Calibri" w:hAnsi="Calibri"/>
                <w:sz w:val="22"/>
              </w:rPr>
              <w:t>Director</w:t>
            </w:r>
          </w:p>
        </w:tc>
        <w:tc>
          <w:tcPr>
            <w:tcW w:type="dxa" w:w="1440"/>
          </w:tcPr>
          <w:p>
            <w:r>
              <w:rPr>
                <w:rFonts w:ascii="Calibri" w:hAnsi="Calibri"/>
                <w:sz w:val="22"/>
              </w:rPr>
              <w:t>Director Compensation Grant</w:t>
            </w:r>
          </w:p>
        </w:tc>
        <w:tc>
          <w:tcPr>
            <w:tcW w:type="dxa" w:w="1440"/>
          </w:tcPr>
          <w:p>
            <w:r>
              <w:rPr>
                <w:rFonts w:ascii="Calibri" w:hAnsi="Calibri"/>
                <w:sz w:val="22"/>
              </w:rPr>
              <w:t>607.8</w:t>
            </w:r>
          </w:p>
        </w:tc>
        <w:tc>
          <w:tcPr>
            <w:tcW w:type="dxa" w:w="1440"/>
          </w:tcPr>
          <w:p>
            <w:r>
              <w:rPr>
                <w:rFonts w:ascii="Calibri" w:hAnsi="Calibri"/>
                <w:sz w:val="22"/>
              </w:rPr>
              <w:t>Jun 28, 2026</w:t>
            </w:r>
          </w:p>
        </w:tc>
        <w:tc>
          <w:tcPr>
            <w:tcW w:type="dxa" w:w="1440"/>
          </w:tcPr>
          <w:p>
            <w:r>
              <w:rPr>
                <w:rFonts w:ascii="Calibri" w:hAnsi="Calibri"/>
                <w:sz w:val="22"/>
              </w:rPr>
              <w:t>Routine annual director equity grant; no informational signal</w:t>
            </w:r>
          </w:p>
        </w:tc>
      </w:tr>
      <w:tr>
        <w:tc>
          <w:tcPr>
            <w:tcW w:type="dxa" w:w="1440"/>
          </w:tcPr>
          <w:p>
            <w:r>
              <w:rPr>
                <w:rFonts w:ascii="Calibri" w:hAnsi="Calibri"/>
                <w:sz w:val="22"/>
              </w:rPr>
              <w:t>Pardee, Charles G.</w:t>
            </w:r>
          </w:p>
        </w:tc>
        <w:tc>
          <w:tcPr>
            <w:tcW w:type="dxa" w:w="1440"/>
          </w:tcPr>
          <w:p>
            <w:r>
              <w:rPr>
                <w:rFonts w:ascii="Calibri" w:hAnsi="Calibri"/>
                <w:sz w:val="22"/>
              </w:rPr>
              <w:t>Director</w:t>
            </w:r>
          </w:p>
        </w:tc>
        <w:tc>
          <w:tcPr>
            <w:tcW w:type="dxa" w:w="1440"/>
          </w:tcPr>
          <w:p>
            <w:r>
              <w:rPr>
                <w:rFonts w:ascii="Calibri" w:hAnsi="Calibri"/>
                <w:sz w:val="22"/>
              </w:rPr>
              <w:t>Director Compensation Grant</w:t>
            </w:r>
          </w:p>
        </w:tc>
        <w:tc>
          <w:tcPr>
            <w:tcW w:type="dxa" w:w="1440"/>
          </w:tcPr>
          <w:p>
            <w:r>
              <w:rPr>
                <w:rFonts w:ascii="Calibri" w:hAnsi="Calibri"/>
                <w:sz w:val="22"/>
              </w:rPr>
              <w:t>541.0</w:t>
            </w:r>
          </w:p>
        </w:tc>
        <w:tc>
          <w:tcPr>
            <w:tcW w:type="dxa" w:w="1440"/>
          </w:tcPr>
          <w:p>
            <w:r>
              <w:rPr>
                <w:rFonts w:ascii="Calibri" w:hAnsi="Calibri"/>
                <w:sz w:val="22"/>
              </w:rPr>
              <w:t>Jun 28, 2026</w:t>
            </w:r>
          </w:p>
        </w:tc>
        <w:tc>
          <w:tcPr>
            <w:tcW w:type="dxa" w:w="1440"/>
          </w:tcPr>
          <w:p>
            <w:r>
              <w:rPr>
                <w:rFonts w:ascii="Calibri" w:hAnsi="Calibri"/>
                <w:sz w:val="22"/>
              </w:rPr>
              <w:t>Routine annual director equity grant; no informational signal</w:t>
            </w:r>
          </w:p>
        </w:tc>
      </w:tr>
      <w:tr>
        <w:tc>
          <w:tcPr>
            <w:tcW w:type="dxa" w:w="1440"/>
          </w:tcPr>
          <w:p>
            <w:r>
              <w:rPr>
                <w:rFonts w:ascii="Calibri" w:hAnsi="Calibri"/>
                <w:sz w:val="22"/>
              </w:rPr>
              <w:t>Welsh, Timothy A.</w:t>
            </w:r>
          </w:p>
        </w:tc>
        <w:tc>
          <w:tcPr>
            <w:tcW w:type="dxa" w:w="1440"/>
          </w:tcPr>
          <w:p>
            <w:r>
              <w:rPr>
                <w:rFonts w:ascii="Calibri" w:hAnsi="Calibri"/>
                <w:sz w:val="22"/>
              </w:rPr>
              <w:t>Director</w:t>
            </w:r>
          </w:p>
        </w:tc>
        <w:tc>
          <w:tcPr>
            <w:tcW w:type="dxa" w:w="1440"/>
          </w:tcPr>
          <w:p>
            <w:r>
              <w:rPr>
                <w:rFonts w:ascii="Calibri" w:hAnsi="Calibri"/>
                <w:sz w:val="22"/>
              </w:rPr>
              <w:t>Director Compensation Grant</w:t>
            </w:r>
          </w:p>
        </w:tc>
        <w:tc>
          <w:tcPr>
            <w:tcW w:type="dxa" w:w="1440"/>
          </w:tcPr>
          <w:p>
            <w:r>
              <w:rPr>
                <w:rFonts w:ascii="Calibri" w:hAnsi="Calibri"/>
                <w:sz w:val="22"/>
              </w:rPr>
              <w:t>468.1</w:t>
            </w:r>
          </w:p>
        </w:tc>
        <w:tc>
          <w:tcPr>
            <w:tcW w:type="dxa" w:w="1440"/>
          </w:tcPr>
          <w:p>
            <w:r>
              <w:rPr>
                <w:rFonts w:ascii="Calibri" w:hAnsi="Calibri"/>
                <w:sz w:val="22"/>
              </w:rPr>
              <w:t>Jun 28, 2026</w:t>
            </w:r>
          </w:p>
        </w:tc>
        <w:tc>
          <w:tcPr>
            <w:tcW w:type="dxa" w:w="1440"/>
          </w:tcPr>
          <w:p>
            <w:r>
              <w:rPr>
                <w:rFonts w:ascii="Calibri" w:hAnsi="Calibri"/>
                <w:sz w:val="22"/>
              </w:rPr>
              <w:t>Routine annual director equity grant; no informational signal</w:t>
            </w:r>
          </w:p>
        </w:tc>
      </w:tr>
      <w:tr>
        <w:tc>
          <w:tcPr>
            <w:tcW w:type="dxa" w:w="1440"/>
          </w:tcPr>
          <w:p>
            <w:r>
              <w:rPr>
                <w:rFonts w:ascii="Calibri" w:hAnsi="Calibri"/>
                <w:sz w:val="22"/>
              </w:rPr>
              <w:t>Burkhart, Megan D.</w:t>
            </w:r>
          </w:p>
        </w:tc>
        <w:tc>
          <w:tcPr>
            <w:tcW w:type="dxa" w:w="1440"/>
          </w:tcPr>
          <w:p>
            <w:r>
              <w:rPr>
                <w:rFonts w:ascii="Calibri" w:hAnsi="Calibri"/>
                <w:sz w:val="22"/>
              </w:rPr>
              <w:t>Director</w:t>
            </w:r>
          </w:p>
        </w:tc>
        <w:tc>
          <w:tcPr>
            <w:tcW w:type="dxa" w:w="1440"/>
          </w:tcPr>
          <w:p>
            <w:r>
              <w:rPr>
                <w:rFonts w:ascii="Calibri" w:hAnsi="Calibri"/>
                <w:sz w:val="22"/>
              </w:rPr>
              <w:t>Director Compensation Grant</w:t>
            </w:r>
          </w:p>
        </w:tc>
        <w:tc>
          <w:tcPr>
            <w:tcW w:type="dxa" w:w="1440"/>
          </w:tcPr>
          <w:p>
            <w:r>
              <w:rPr>
                <w:rFonts w:ascii="Calibri" w:hAnsi="Calibri"/>
                <w:sz w:val="22"/>
              </w:rPr>
              <w:t>2,253.9</w:t>
            </w:r>
          </w:p>
        </w:tc>
        <w:tc>
          <w:tcPr>
            <w:tcW w:type="dxa" w:w="1440"/>
          </w:tcPr>
          <w:p>
            <w:r>
              <w:rPr>
                <w:rFonts w:ascii="Calibri" w:hAnsi="Calibri"/>
                <w:sz w:val="22"/>
              </w:rPr>
              <w:t>May 21, 2026</w:t>
            </w:r>
          </w:p>
        </w:tc>
        <w:tc>
          <w:tcPr>
            <w:tcW w:type="dxa" w:w="1440"/>
          </w:tcPr>
          <w:p>
            <w:r>
              <w:rPr>
                <w:rFonts w:ascii="Calibri" w:hAnsi="Calibri"/>
                <w:sz w:val="22"/>
              </w:rPr>
              <w:t>Annual director equity grant (annual meeting); no informational signal</w:t>
            </w:r>
          </w:p>
        </w:tc>
      </w:tr>
      <w:tr>
        <w:tc>
          <w:tcPr>
            <w:tcW w:type="dxa" w:w="1440"/>
          </w:tcPr>
          <w:p>
            <w:r>
              <w:rPr>
                <w:rFonts w:ascii="Calibri" w:hAnsi="Calibri"/>
                <w:sz w:val="22"/>
              </w:rPr>
              <w:t>Casey, Lynn</w:t>
            </w:r>
          </w:p>
        </w:tc>
        <w:tc>
          <w:tcPr>
            <w:tcW w:type="dxa" w:w="1440"/>
          </w:tcPr>
          <w:p>
            <w:r>
              <w:rPr>
                <w:rFonts w:ascii="Calibri" w:hAnsi="Calibri"/>
                <w:sz w:val="22"/>
              </w:rPr>
              <w:t>Director</w:t>
            </w:r>
          </w:p>
        </w:tc>
        <w:tc>
          <w:tcPr>
            <w:tcW w:type="dxa" w:w="1440"/>
          </w:tcPr>
          <w:p>
            <w:r>
              <w:rPr>
                <w:rFonts w:ascii="Calibri" w:hAnsi="Calibri"/>
                <w:sz w:val="22"/>
              </w:rPr>
              <w:t>Director Compensation Grant</w:t>
            </w:r>
          </w:p>
        </w:tc>
        <w:tc>
          <w:tcPr>
            <w:tcW w:type="dxa" w:w="1440"/>
          </w:tcPr>
          <w:p>
            <w:r>
              <w:rPr>
                <w:rFonts w:ascii="Calibri" w:hAnsi="Calibri"/>
                <w:sz w:val="22"/>
              </w:rPr>
              <w:t>2,253.9</w:t>
            </w:r>
          </w:p>
        </w:tc>
        <w:tc>
          <w:tcPr>
            <w:tcW w:type="dxa" w:w="1440"/>
          </w:tcPr>
          <w:p>
            <w:r>
              <w:rPr>
                <w:rFonts w:ascii="Calibri" w:hAnsi="Calibri"/>
                <w:sz w:val="22"/>
              </w:rPr>
              <w:t>May 21, 2026</w:t>
            </w:r>
          </w:p>
        </w:tc>
        <w:tc>
          <w:tcPr>
            <w:tcW w:type="dxa" w:w="1440"/>
          </w:tcPr>
          <w:p>
            <w:r>
              <w:rPr>
                <w:rFonts w:ascii="Calibri" w:hAnsi="Calibri"/>
                <w:sz w:val="22"/>
              </w:rPr>
              <w:t>Annual director equity grant (annual meeting); no informational signal</w:t>
            </w:r>
          </w:p>
        </w:tc>
      </w:tr>
      <w:tr>
        <w:tc>
          <w:tcPr>
            <w:tcW w:type="dxa" w:w="1440"/>
          </w:tcPr>
          <w:p>
            <w:r>
              <w:rPr>
                <w:rFonts w:ascii="Calibri" w:hAnsi="Calibri"/>
                <w:sz w:val="22"/>
              </w:rPr>
              <w:t>Hutchinson, Maria Demaree</w:t>
            </w:r>
          </w:p>
        </w:tc>
        <w:tc>
          <w:tcPr>
            <w:tcW w:type="dxa" w:w="1440"/>
          </w:tcPr>
          <w:p>
            <w:r>
              <w:rPr>
                <w:rFonts w:ascii="Calibri" w:hAnsi="Calibri"/>
                <w:sz w:val="22"/>
              </w:rPr>
              <w:t>Director</w:t>
            </w:r>
          </w:p>
        </w:tc>
        <w:tc>
          <w:tcPr>
            <w:tcW w:type="dxa" w:w="1440"/>
          </w:tcPr>
          <w:p>
            <w:r>
              <w:rPr>
                <w:rFonts w:ascii="Calibri" w:hAnsi="Calibri"/>
                <w:sz w:val="22"/>
              </w:rPr>
              <w:t>Director Compensation Grant</w:t>
            </w:r>
          </w:p>
        </w:tc>
        <w:tc>
          <w:tcPr>
            <w:tcW w:type="dxa" w:w="1440"/>
          </w:tcPr>
          <w:p>
            <w:r>
              <w:rPr>
                <w:rFonts w:ascii="Calibri" w:hAnsi="Calibri"/>
                <w:sz w:val="22"/>
              </w:rPr>
              <w:t>2,253.9</w:t>
            </w:r>
          </w:p>
        </w:tc>
        <w:tc>
          <w:tcPr>
            <w:tcW w:type="dxa" w:w="1440"/>
          </w:tcPr>
          <w:p>
            <w:r>
              <w:rPr>
                <w:rFonts w:ascii="Calibri" w:hAnsi="Calibri"/>
                <w:sz w:val="22"/>
              </w:rPr>
              <w:t>May 21, 2026</w:t>
            </w:r>
          </w:p>
        </w:tc>
        <w:tc>
          <w:tcPr>
            <w:tcW w:type="dxa" w:w="1440"/>
          </w:tcPr>
          <w:p>
            <w:r>
              <w:rPr>
                <w:rFonts w:ascii="Calibri" w:hAnsi="Calibri"/>
                <w:sz w:val="22"/>
              </w:rPr>
              <w:t>Annual director equity grant (annual meeting); no informational signal</w:t>
            </w:r>
          </w:p>
        </w:tc>
      </w:tr>
      <w:tr>
        <w:tc>
          <w:tcPr>
            <w:tcW w:type="dxa" w:w="1440"/>
          </w:tcPr>
          <w:p>
            <w:r>
              <w:rPr>
                <w:rFonts w:ascii="Calibri" w:hAnsi="Calibri"/>
                <w:sz w:val="22"/>
              </w:rPr>
              <w:t>Johnson, Netha N.</w:t>
            </w:r>
          </w:p>
        </w:tc>
        <w:tc>
          <w:tcPr>
            <w:tcW w:type="dxa" w:w="1440"/>
          </w:tcPr>
          <w:p>
            <w:r>
              <w:rPr>
                <w:rFonts w:ascii="Calibri" w:hAnsi="Calibri"/>
                <w:sz w:val="22"/>
              </w:rPr>
              <w:t>Director</w:t>
            </w:r>
          </w:p>
        </w:tc>
        <w:tc>
          <w:tcPr>
            <w:tcW w:type="dxa" w:w="1440"/>
          </w:tcPr>
          <w:p>
            <w:r>
              <w:rPr>
                <w:rFonts w:ascii="Calibri" w:hAnsi="Calibri"/>
                <w:sz w:val="22"/>
              </w:rPr>
              <w:t>Director Compensation Grant</w:t>
            </w:r>
          </w:p>
        </w:tc>
        <w:tc>
          <w:tcPr>
            <w:tcW w:type="dxa" w:w="1440"/>
          </w:tcPr>
          <w:p>
            <w:r>
              <w:rPr>
                <w:rFonts w:ascii="Calibri" w:hAnsi="Calibri"/>
                <w:sz w:val="22"/>
              </w:rPr>
              <w:t>2,253.9</w:t>
            </w:r>
          </w:p>
        </w:tc>
        <w:tc>
          <w:tcPr>
            <w:tcW w:type="dxa" w:w="1440"/>
          </w:tcPr>
          <w:p>
            <w:r>
              <w:rPr>
                <w:rFonts w:ascii="Calibri" w:hAnsi="Calibri"/>
                <w:sz w:val="22"/>
              </w:rPr>
              <w:t>May 21, 2026</w:t>
            </w:r>
          </w:p>
        </w:tc>
        <w:tc>
          <w:tcPr>
            <w:tcW w:type="dxa" w:w="1440"/>
          </w:tcPr>
          <w:p>
            <w:r>
              <w:rPr>
                <w:rFonts w:ascii="Calibri" w:hAnsi="Calibri"/>
                <w:sz w:val="22"/>
              </w:rPr>
              <w:t>Annual director equity grant (annual meeting); no informational signal</w:t>
            </w:r>
          </w:p>
        </w:tc>
      </w:tr>
      <w:tr>
        <w:tc>
          <w:tcPr>
            <w:tcW w:type="dxa" w:w="1440"/>
          </w:tcPr>
          <w:p>
            <w:r>
              <w:rPr>
                <w:rFonts w:ascii="Calibri" w:hAnsi="Calibri"/>
                <w:sz w:val="22"/>
              </w:rPr>
              <w:t>Kampling, Patricia L.</w:t>
            </w:r>
          </w:p>
        </w:tc>
        <w:tc>
          <w:tcPr>
            <w:tcW w:type="dxa" w:w="1440"/>
          </w:tcPr>
          <w:p>
            <w:r>
              <w:rPr>
                <w:rFonts w:ascii="Calibri" w:hAnsi="Calibri"/>
                <w:sz w:val="22"/>
              </w:rPr>
              <w:t>Director</w:t>
            </w:r>
          </w:p>
        </w:tc>
        <w:tc>
          <w:tcPr>
            <w:tcW w:type="dxa" w:w="1440"/>
          </w:tcPr>
          <w:p>
            <w:r>
              <w:rPr>
                <w:rFonts w:ascii="Calibri" w:hAnsi="Calibri"/>
                <w:sz w:val="22"/>
              </w:rPr>
              <w:t>Director Compensation Grant</w:t>
            </w:r>
          </w:p>
        </w:tc>
        <w:tc>
          <w:tcPr>
            <w:tcW w:type="dxa" w:w="1440"/>
          </w:tcPr>
          <w:p>
            <w:r>
              <w:rPr>
                <w:rFonts w:ascii="Calibri" w:hAnsi="Calibri"/>
                <w:sz w:val="22"/>
              </w:rPr>
              <w:t>2,253.9</w:t>
            </w:r>
          </w:p>
        </w:tc>
        <w:tc>
          <w:tcPr>
            <w:tcW w:type="dxa" w:w="1440"/>
          </w:tcPr>
          <w:p>
            <w:r>
              <w:rPr>
                <w:rFonts w:ascii="Calibri" w:hAnsi="Calibri"/>
                <w:sz w:val="22"/>
              </w:rPr>
              <w:t>May 21, 2026</w:t>
            </w:r>
          </w:p>
        </w:tc>
        <w:tc>
          <w:tcPr>
            <w:tcW w:type="dxa" w:w="1440"/>
          </w:tcPr>
          <w:p>
            <w:r>
              <w:rPr>
                <w:rFonts w:ascii="Calibri" w:hAnsi="Calibri"/>
                <w:sz w:val="22"/>
              </w:rPr>
              <w:t>Annual director equity grant (annual meeting); no informational signal</w:t>
            </w:r>
          </w:p>
        </w:tc>
      </w:tr>
      <w:tr>
        <w:tc>
          <w:tcPr>
            <w:tcW w:type="dxa" w:w="1440"/>
          </w:tcPr>
          <w:p>
            <w:r>
              <w:rPr>
                <w:rFonts w:ascii="Calibri" w:hAnsi="Calibri"/>
                <w:sz w:val="22"/>
              </w:rPr>
              <w:t>Kehl, George J.</w:t>
            </w:r>
          </w:p>
        </w:tc>
        <w:tc>
          <w:tcPr>
            <w:tcW w:type="dxa" w:w="1440"/>
          </w:tcPr>
          <w:p>
            <w:r>
              <w:rPr>
                <w:rFonts w:ascii="Calibri" w:hAnsi="Calibri"/>
                <w:sz w:val="22"/>
              </w:rPr>
              <w:t>Director</w:t>
            </w:r>
          </w:p>
        </w:tc>
        <w:tc>
          <w:tcPr>
            <w:tcW w:type="dxa" w:w="1440"/>
          </w:tcPr>
          <w:p>
            <w:r>
              <w:rPr>
                <w:rFonts w:ascii="Calibri" w:hAnsi="Calibri"/>
                <w:sz w:val="22"/>
              </w:rPr>
              <w:t>Director Compensation Grant</w:t>
            </w:r>
          </w:p>
        </w:tc>
        <w:tc>
          <w:tcPr>
            <w:tcW w:type="dxa" w:w="1440"/>
          </w:tcPr>
          <w:p>
            <w:r>
              <w:rPr>
                <w:rFonts w:ascii="Calibri" w:hAnsi="Calibri"/>
                <w:sz w:val="22"/>
              </w:rPr>
              <w:t>2,253.9</w:t>
            </w:r>
          </w:p>
        </w:tc>
        <w:tc>
          <w:tcPr>
            <w:tcW w:type="dxa" w:w="1440"/>
          </w:tcPr>
          <w:p>
            <w:r>
              <w:rPr>
                <w:rFonts w:ascii="Calibri" w:hAnsi="Calibri"/>
                <w:sz w:val="22"/>
              </w:rPr>
              <w:t>May 21, 2026</w:t>
            </w:r>
          </w:p>
        </w:tc>
        <w:tc>
          <w:tcPr>
            <w:tcW w:type="dxa" w:w="1440"/>
          </w:tcPr>
          <w:p>
            <w:r>
              <w:rPr>
                <w:rFonts w:ascii="Calibri" w:hAnsi="Calibri"/>
                <w:sz w:val="22"/>
              </w:rPr>
              <w:t>Annual director equity grant (annual meeting); no informational signal</w:t>
            </w:r>
          </w:p>
        </w:tc>
      </w:tr>
      <w:tr>
        <w:tc>
          <w:tcPr>
            <w:tcW w:type="dxa" w:w="1440"/>
          </w:tcPr>
          <w:p>
            <w:r>
              <w:rPr>
                <w:rFonts w:ascii="Calibri" w:hAnsi="Calibri"/>
                <w:sz w:val="22"/>
              </w:rPr>
              <w:t>Pardee, Charles G.</w:t>
            </w:r>
          </w:p>
        </w:tc>
        <w:tc>
          <w:tcPr>
            <w:tcW w:type="dxa" w:w="1440"/>
          </w:tcPr>
          <w:p>
            <w:r>
              <w:rPr>
                <w:rFonts w:ascii="Calibri" w:hAnsi="Calibri"/>
                <w:sz w:val="22"/>
              </w:rPr>
              <w:t>Director</w:t>
            </w:r>
          </w:p>
        </w:tc>
        <w:tc>
          <w:tcPr>
            <w:tcW w:type="dxa" w:w="1440"/>
          </w:tcPr>
          <w:p>
            <w:r>
              <w:rPr>
                <w:rFonts w:ascii="Calibri" w:hAnsi="Calibri"/>
                <w:sz w:val="22"/>
              </w:rPr>
              <w:t>Director Compensation Grant</w:t>
            </w:r>
          </w:p>
        </w:tc>
        <w:tc>
          <w:tcPr>
            <w:tcW w:type="dxa" w:w="1440"/>
          </w:tcPr>
          <w:p>
            <w:r>
              <w:rPr>
                <w:rFonts w:ascii="Calibri" w:hAnsi="Calibri"/>
                <w:sz w:val="22"/>
              </w:rPr>
              <w:t>2,253.9</w:t>
            </w:r>
          </w:p>
        </w:tc>
        <w:tc>
          <w:tcPr>
            <w:tcW w:type="dxa" w:w="1440"/>
          </w:tcPr>
          <w:p>
            <w:r>
              <w:rPr>
                <w:rFonts w:ascii="Calibri" w:hAnsi="Calibri"/>
                <w:sz w:val="22"/>
              </w:rPr>
              <w:t>May 21, 2026</w:t>
            </w:r>
          </w:p>
        </w:tc>
        <w:tc>
          <w:tcPr>
            <w:tcW w:type="dxa" w:w="1440"/>
          </w:tcPr>
          <w:p>
            <w:r>
              <w:rPr>
                <w:rFonts w:ascii="Calibri" w:hAnsi="Calibri"/>
                <w:sz w:val="22"/>
              </w:rPr>
              <w:t>Annual director equity grant (annual meeting); no informational signal</w:t>
            </w:r>
          </w:p>
        </w:tc>
      </w:tr>
      <w:tr>
        <w:tc>
          <w:tcPr>
            <w:tcW w:type="dxa" w:w="1440"/>
          </w:tcPr>
          <w:p>
            <w:r>
              <w:rPr>
                <w:rFonts w:ascii="Calibri" w:hAnsi="Calibri"/>
                <w:sz w:val="22"/>
              </w:rPr>
              <w:t>Stockfish, Devin W.</w:t>
            </w:r>
          </w:p>
        </w:tc>
        <w:tc>
          <w:tcPr>
            <w:tcW w:type="dxa" w:w="1440"/>
          </w:tcPr>
          <w:p>
            <w:r>
              <w:rPr>
                <w:rFonts w:ascii="Calibri" w:hAnsi="Calibri"/>
                <w:sz w:val="22"/>
              </w:rPr>
              <w:t>Director</w:t>
            </w:r>
          </w:p>
        </w:tc>
        <w:tc>
          <w:tcPr>
            <w:tcW w:type="dxa" w:w="1440"/>
          </w:tcPr>
          <w:p>
            <w:r>
              <w:rPr>
                <w:rFonts w:ascii="Calibri" w:hAnsi="Calibri"/>
                <w:sz w:val="22"/>
              </w:rPr>
              <w:t>Director Compensation Grant</w:t>
            </w:r>
          </w:p>
        </w:tc>
        <w:tc>
          <w:tcPr>
            <w:tcW w:type="dxa" w:w="1440"/>
          </w:tcPr>
          <w:p>
            <w:r>
              <w:rPr>
                <w:rFonts w:ascii="Calibri" w:hAnsi="Calibri"/>
                <w:sz w:val="22"/>
              </w:rPr>
              <w:t>2,253.9</w:t>
            </w:r>
          </w:p>
        </w:tc>
        <w:tc>
          <w:tcPr>
            <w:tcW w:type="dxa" w:w="1440"/>
          </w:tcPr>
          <w:p>
            <w:r>
              <w:rPr>
                <w:rFonts w:ascii="Calibri" w:hAnsi="Calibri"/>
                <w:sz w:val="22"/>
              </w:rPr>
              <w:t>May 21, 2026</w:t>
            </w:r>
          </w:p>
        </w:tc>
        <w:tc>
          <w:tcPr>
            <w:tcW w:type="dxa" w:w="1440"/>
          </w:tcPr>
          <w:p>
            <w:r>
              <w:rPr>
                <w:rFonts w:ascii="Calibri" w:hAnsi="Calibri"/>
                <w:sz w:val="22"/>
              </w:rPr>
              <w:t>Annual director equity grant (annual meeting); no informational signal</w:t>
            </w:r>
          </w:p>
        </w:tc>
      </w:tr>
      <w:tr>
        <w:tc>
          <w:tcPr>
            <w:tcW w:type="dxa" w:w="1440"/>
          </w:tcPr>
          <w:p>
            <w:r>
              <w:rPr>
                <w:rFonts w:ascii="Calibri" w:hAnsi="Calibri"/>
                <w:sz w:val="22"/>
              </w:rPr>
              <w:t>Welsh, Timothy A.</w:t>
            </w:r>
          </w:p>
        </w:tc>
        <w:tc>
          <w:tcPr>
            <w:tcW w:type="dxa" w:w="1440"/>
          </w:tcPr>
          <w:p>
            <w:r>
              <w:rPr>
                <w:rFonts w:ascii="Calibri" w:hAnsi="Calibri"/>
                <w:sz w:val="22"/>
              </w:rPr>
              <w:t>Director</w:t>
            </w:r>
          </w:p>
        </w:tc>
        <w:tc>
          <w:tcPr>
            <w:tcW w:type="dxa" w:w="1440"/>
          </w:tcPr>
          <w:p>
            <w:r>
              <w:rPr>
                <w:rFonts w:ascii="Calibri" w:hAnsi="Calibri"/>
                <w:sz w:val="22"/>
              </w:rPr>
              <w:t>Director Compensation Grant</w:t>
            </w:r>
          </w:p>
        </w:tc>
        <w:tc>
          <w:tcPr>
            <w:tcW w:type="dxa" w:w="1440"/>
          </w:tcPr>
          <w:p>
            <w:r>
              <w:rPr>
                <w:rFonts w:ascii="Calibri" w:hAnsi="Calibri"/>
                <w:sz w:val="22"/>
              </w:rPr>
              <w:t>2,253.9</w:t>
            </w:r>
          </w:p>
        </w:tc>
        <w:tc>
          <w:tcPr>
            <w:tcW w:type="dxa" w:w="1440"/>
          </w:tcPr>
          <w:p>
            <w:r>
              <w:rPr>
                <w:rFonts w:ascii="Calibri" w:hAnsi="Calibri"/>
                <w:sz w:val="22"/>
              </w:rPr>
              <w:t>May 21, 2026</w:t>
            </w:r>
          </w:p>
        </w:tc>
        <w:tc>
          <w:tcPr>
            <w:tcW w:type="dxa" w:w="1440"/>
          </w:tcPr>
          <w:p>
            <w:r>
              <w:rPr>
                <w:rFonts w:ascii="Calibri" w:hAnsi="Calibri"/>
                <w:sz w:val="22"/>
              </w:rPr>
              <w:t>Annual director equity grant (annual meeting); no informational signal</w:t>
            </w:r>
          </w:p>
        </w:tc>
      </w:tr>
    </w:tbl>
    <w:p>
      <w:r>
        <w:rPr>
          <w:rFonts w:ascii="Calibri" w:hAnsi="Calibri"/>
          <w:i/>
          <w:color w:val="525866"/>
          <w:sz w:val="22"/>
        </w:rPr>
        <w:t>Source: SEC Form 4 Filings (Insider Transaction Data). All transactions are Form 4 Code A (Acquisition via compensation grant) — not open-market purchases or sales. No discretionary open-market buys or sells were filed by any XEL executive or director since the Q1 2026 earnings date (April 30, 2026). The absence of insider selling is a mild positive signal heading into the print.</w:t>
      </w:r>
    </w:p>
    <w:sectPr w:rsidR="00FC693F" w:rsidRPr="0006063C" w:rsidSect="00034616">
      <w:headerReference w:type="default" r:id="rId10"/>
      <w:footerReference w:type="default" r:id="rId1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8640" w:val="right"/>
      </w:tabs>
      <w:spacing w:before="0" w:after="0" w:line="240" w:lineRule="auto"/>
      <w:jc w:val="left"/>
    </w:pPr>
    <w:r>
      <w:rPr>
        <w:rFonts w:ascii="Calibri" w:hAnsi="Calibri"/>
        <w:i/>
        <w:color w:val="525866"/>
        <w:sz w:val="20"/>
      </w:rPr>
      <w:t>We do the work, you make the call</w:t>
    </w:r>
    <w:r>
      <w:tab/>
    </w:r>
    <w:r>
      <w:rPr>
        <w:rFonts w:ascii="Calibri" w:hAnsi="Calibri"/>
        <w:i/>
        <w:color w:val="FB9120"/>
        <w:sz w:val="20"/>
      </w:rPr>
      <w:t>app.implied.com/trial</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8640" w:val="right"/>
      </w:tabs>
      <w:spacing w:before="0" w:after="0" w:line="240" w:lineRule="auto"/>
      <w:jc w:val="left"/>
    </w:pPr>
    <w:r>
      <w:drawing>
        <wp:inline xmlns:a="http://schemas.openxmlformats.org/drawingml/2006/main" xmlns:pic="http://schemas.openxmlformats.org/drawingml/2006/picture">
          <wp:extent cx="5486400" cy="274320"/>
          <wp:docPr id="1" name="Picture 1"/>
          <wp:cNvGraphicFramePr>
            <a:graphicFrameLocks noChangeAspect="1"/>
          </wp:cNvGraphicFramePr>
          <a:graphic>
            <a:graphicData uri="http://schemas.openxmlformats.org/drawingml/2006/picture">
              <pic:pic>
                <pic:nvPicPr>
                  <pic:cNvPr id="0" name="ImpliedPromotionalHeader.png"/>
                  <pic:cNvPicPr/>
                </pic:nvPicPr>
                <pic:blipFill>
                  <a:blip r:embed="rId1"/>
                  <a:stretch>
                    <a:fillRect/>
                  </a:stretch>
                </pic:blipFill>
                <pic:spPr>
                  <a:xfrm>
                    <a:off x="0" y="0"/>
                    <a:ext cx="5486400" cy="274320"/>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Calibri" w:hAnsi="Calibri"/>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