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Xcel Energy (XEL)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Xcel Energy Inc.</w:t>
            </w:r>
          </w:p>
        </w:tc>
      </w:tr>
      <w:tr>
        <w:tc>
          <w:tcPr>
            <w:tcW w:type="dxa" w:w="4320"/>
          </w:tcPr>
          <w:p>
            <w:r>
              <w:rPr>
                <w:rFonts w:ascii="Calibri" w:hAnsi="Calibri"/>
                <w:b/>
                <w:sz w:val="22"/>
              </w:rPr>
              <w:t>Ticker</w:t>
            </w:r>
          </w:p>
        </w:tc>
        <w:tc>
          <w:tcPr>
            <w:tcW w:type="dxa" w:w="4320"/>
          </w:tcPr>
          <w:p>
            <w:r>
              <w:rPr>
                <w:rFonts w:ascii="Calibri" w:hAnsi="Calibri"/>
                <w:sz w:val="22"/>
              </w:rPr>
              <w:t>XEL (NASDAQ)</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Call Date</w:t>
            </w:r>
          </w:p>
        </w:tc>
        <w:tc>
          <w:tcPr>
            <w:tcW w:type="dxa" w:w="4320"/>
          </w:tcPr>
          <w:p>
            <w:r>
              <w:rPr>
                <w:rFonts w:ascii="Calibri" w:hAnsi="Calibri"/>
                <w:sz w:val="22"/>
              </w:rPr>
              <w:t>July 30, 2026 — 10:00 AM ET</w:t>
            </w:r>
          </w:p>
        </w:tc>
      </w:tr>
      <w:tr>
        <w:tc>
          <w:tcPr>
            <w:tcW w:type="dxa" w:w="4320"/>
          </w:tcPr>
          <w:p>
            <w:r>
              <w:rPr>
                <w:rFonts w:ascii="Calibri" w:hAnsi="Calibri"/>
                <w:b/>
                <w:sz w:val="22"/>
              </w:rPr>
              <w:t>Prepared</w:t>
            </w:r>
          </w:p>
        </w:tc>
        <w:tc>
          <w:tcPr>
            <w:tcW w:type="dxa" w:w="4320"/>
          </w:tcPr>
          <w:p>
            <w:r>
              <w:rPr>
                <w:rFonts w:ascii="Calibri" w:hAnsi="Calibri"/>
                <w:sz w:val="22"/>
              </w:rPr>
              <w:t>July 29, 2026</w:t>
            </w:r>
          </w:p>
        </w:tc>
      </w:tr>
      <w:tr>
        <w:tc>
          <w:tcPr>
            <w:tcW w:type="dxa" w:w="4320"/>
          </w:tcPr>
          <w:p>
            <w:r>
              <w:rPr>
                <w:rFonts w:ascii="Calibri" w:hAnsi="Calibri"/>
                <w:b/>
                <w:sz w:val="22"/>
              </w:rPr>
              <w:t>Sector / ETF Benchmark</w:t>
            </w:r>
          </w:p>
        </w:tc>
        <w:tc>
          <w:tcPr>
            <w:tcW w:type="dxa" w:w="4320"/>
          </w:tcPr>
          <w:p>
            <w:r>
              <w:rPr>
                <w:rFonts w:ascii="Calibri" w:hAnsi="Calibri"/>
                <w:sz w:val="22"/>
              </w:rPr>
              <w:t>Utilities / XLU (SPDR Utilities Select Sector ETF)</w:t>
            </w:r>
          </w:p>
        </w:tc>
      </w:tr>
    </w:tbl>
    <w:p>
      <w:r>
        <w:br w:type="page"/>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Setup is constructive but not stretched — consensus is a manageable bar, the biggest swing factor is whether management can quantify incremental data-center contracting progress and provide a clearer path to the $10B+ incremental investment opportunity.</w:t>
      </w:r>
    </w:p>
    <w:p>
      <w:r>
        <w:rPr>
          <w:rFonts w:ascii="Calibri" w:hAnsi="Calibri"/>
          <w:color w:val="525866"/>
          <w:sz w:val="22"/>
        </w:rPr>
        <w:t xml:space="preserve">Heading into Q2 2026, XEL faces a </w:t>
      </w:r>
      <w:r>
        <w:rPr>
          <w:rFonts w:ascii="Calibri" w:hAnsi="Calibri"/>
          <w:b/>
          <w:color w:val="525866"/>
          <w:sz w:val="22"/>
        </w:rPr>
        <w:t>low-to-moderate bar</w:t>
      </w:r>
      <w:r>
        <w:rPr>
          <w:rFonts w:ascii="Calibri" w:hAnsi="Calibri"/>
          <w:color w:val="525866"/>
          <w:sz w:val="22"/>
        </w:rPr>
        <w:t xml:space="preserve"> on operating EPS (consensus ~$0.80 vs. $0.75 in Q2 2025), with the quarter seasonally the weakest in the year and weather a known headwind after the warmest Colorado winter on record in Q1. Management has been </w:t>
      </w:r>
      <w:r>
        <w:rPr>
          <w:rFonts w:ascii="Calibri" w:hAnsi="Calibri"/>
          <w:b/>
          <w:color w:val="525866"/>
          <w:sz w:val="22"/>
        </w:rPr>
        <w:t>consistently confident</w:t>
      </w:r>
      <w:r>
        <w:rPr>
          <w:rFonts w:ascii="Calibri" w:hAnsi="Calibri"/>
          <w:color w:val="525866"/>
          <w:sz w:val="22"/>
        </w:rPr>
        <w:t xml:space="preserve"> since the April 30 earnings call, reaffirming full-year 2026 EPS guidance of $4.04–$4.16 twice via 8-K (June 22 and July 13) and delivering a string of constructive regulatory outcomes — the Minnesota MPUC verbal decision (June 18) awarded a 9.60% ROE and $211M rate increase, the Colorado gas settlement (July 13) was filed at $123M, and the New Mexico SPS stipulation (June 22) was filed at $90M. Estimate revisions have been broadly stable since the Q1 print, with the 2026 FY consensus sitting at ~$4.12, well within guidance. The stock has </w:t>
      </w:r>
      <w:r>
        <w:rPr>
          <w:rFonts w:ascii="Calibri" w:hAnsi="Calibri"/>
          <w:b/>
          <w:color w:val="525866"/>
          <w:sz w:val="22"/>
        </w:rPr>
        <w:t>underperformed XLU modestly</w:t>
      </w:r>
      <w:r>
        <w:rPr>
          <w:rFonts w:ascii="Calibri" w:hAnsi="Calibri"/>
          <w:color w:val="525866"/>
          <w:sz w:val="22"/>
        </w:rPr>
        <w:t xml:space="preserve"> since the April 30 earnings date (roughly flat vs. XLU +1%), suggesting the market has not yet fully priced the regulatory wins or the data-center pipeline expansion. The </w:t>
      </w:r>
      <w:r>
        <w:rPr>
          <w:rFonts w:ascii="Calibri" w:hAnsi="Calibri"/>
          <w:b/>
          <w:color w:val="525866"/>
          <w:sz w:val="22"/>
        </w:rPr>
        <w:t>key wildcard</w:t>
      </w:r>
      <w:r>
        <w:rPr>
          <w:rFonts w:ascii="Calibri" w:hAnsi="Calibri"/>
          <w:color w:val="525866"/>
          <w:sz w:val="22"/>
        </w:rPr>
        <w:t xml:space="preserve"> is the pace of data-center contracting: management guided to 6 GW by year-end 2027 and has line of sight to $7B+ of the $10B+ incremental opportunity — any update on additional gigawatts contracted or a new large-load tariff approval in Colorado, Texas, or New Mexico could be a meaningful positive catalyst.</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Consensus is a low bar on EPS given Q2 is seasonally the weakest quarter; the bigger swing factor is electric sales volume (GWh), where data-center ramp and C&amp;I growth will be closely watched against a prior-year comp that already included strong industrial demand.</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 (Last Quarter)</w:t>
            </w:r>
          </w:p>
        </w:tc>
        <w:tc>
          <w:tcPr>
            <w:tcW w:type="dxa" w:w="1234"/>
            <w:shd w:val="clear" w:color="auto" w:fill="3B4259"/>
          </w:tcPr>
          <w:p>
            <w:r>
              <w:rPr>
                <w:rFonts w:ascii="Calibri" w:hAnsi="Calibri"/>
                <w:b/>
                <w:color w:val="FFFFFF"/>
                <w:sz w:val="22"/>
              </w:rPr>
              <w:t>Q2 2025 Actual (Prior Year Period)</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 (Est. vs. PY)</w:t>
            </w:r>
          </w:p>
        </w:tc>
        <w:tc>
          <w:tcPr>
            <w:tcW w:type="dxa" w:w="1234"/>
            <w:shd w:val="clear" w:color="auto" w:fill="3B4259"/>
          </w:tcPr>
          <w:p>
            <w:r>
              <w:rPr>
                <w:rFonts w:ascii="Calibri" w:hAnsi="Calibri"/>
                <w:b/>
                <w:color w:val="FFFFFF"/>
                <w:sz w:val="22"/>
              </w:rPr>
              <w:t>FY 2026 Guidance</w:t>
            </w:r>
          </w:p>
        </w:tc>
        <w:tc>
          <w:tcPr>
            <w:tcW w:type="dxa" w:w="1234"/>
            <w:shd w:val="clear" w:color="auto" w:fill="3B4259"/>
          </w:tcPr>
          <w:p>
            <w:r>
              <w:rPr>
                <w:rFonts w:ascii="Calibri" w:hAnsi="Calibri"/>
                <w:b/>
                <w:color w:val="FFFFFF"/>
                <w:sz w:val="22"/>
              </w:rPr>
              <w:t>Consensus vs. Guidance Midpoint</w:t>
            </w:r>
          </w:p>
        </w:tc>
      </w:tr>
      <w:tr>
        <w:tc>
          <w:tcPr>
            <w:tcW w:type="dxa" w:w="1234"/>
          </w:tcPr>
          <w:p>
            <w:r>
              <w:rPr>
                <w:rFonts w:ascii="Calibri" w:hAnsi="Calibri"/>
                <w:sz w:val="22"/>
              </w:rPr>
              <w:t>Operating EPS (Diluted)</w:t>
            </w:r>
          </w:p>
        </w:tc>
        <w:tc>
          <w:tcPr>
            <w:tcW w:type="dxa" w:w="1234"/>
          </w:tcPr>
          <w:p>
            <w:r>
              <w:rPr>
                <w:rFonts w:ascii="Calibri" w:hAnsi="Calibri"/>
                <w:sz w:val="22"/>
              </w:rPr>
              <w:t>$0.91</w:t>
            </w:r>
          </w:p>
        </w:tc>
        <w:tc>
          <w:tcPr>
            <w:tcW w:type="dxa" w:w="1234"/>
          </w:tcPr>
          <w:p>
            <w:r>
              <w:rPr>
                <w:rFonts w:ascii="Calibri" w:hAnsi="Calibri"/>
                <w:sz w:val="22"/>
              </w:rPr>
              <w:t>$0.75</w:t>
            </w:r>
          </w:p>
        </w:tc>
        <w:tc>
          <w:tcPr>
            <w:tcW w:type="dxa" w:w="1234"/>
          </w:tcPr>
          <w:p>
            <w:r>
              <w:rPr>
                <w:rFonts w:ascii="Calibri" w:hAnsi="Calibri"/>
                <w:sz w:val="22"/>
              </w:rPr>
              <w:t>$0.80</w:t>
            </w:r>
          </w:p>
        </w:tc>
        <w:tc>
          <w:tcPr>
            <w:tcW w:type="dxa" w:w="1234"/>
          </w:tcPr>
          <w:p>
            <w:r>
              <w:rPr>
                <w:rFonts w:ascii="Calibri" w:hAnsi="Calibri"/>
                <w:sz w:val="22"/>
              </w:rPr>
              <w:t>+6.0%</w:t>
            </w:r>
          </w:p>
        </w:tc>
        <w:tc>
          <w:tcPr>
            <w:tcW w:type="dxa" w:w="1234"/>
          </w:tcPr>
          <w:p>
            <w:r>
              <w:rPr>
                <w:rFonts w:ascii="Calibri" w:hAnsi="Calibri"/>
                <w:sz w:val="22"/>
              </w:rPr>
              <w:t>$4.04–$4.16 ($4.10 mid)</w:t>
            </w:r>
          </w:p>
        </w:tc>
        <w:tc>
          <w:tcPr>
            <w:tcW w:type="dxa" w:w="1234"/>
          </w:tcPr>
          <w:p>
            <w:r>
              <w:rPr>
                <w:rFonts w:ascii="Calibri" w:hAnsi="Calibri"/>
                <w:sz w:val="22"/>
              </w:rPr>
              <w:t>Q2 est. is ~19.5% of FY mid; FY cons. $4.12 is +0.5% above mid</w:t>
            </w:r>
          </w:p>
        </w:tc>
      </w:tr>
      <w:tr>
        <w:tc>
          <w:tcPr>
            <w:tcW w:type="dxa" w:w="1234"/>
          </w:tcPr>
          <w:p>
            <w:r>
              <w:rPr>
                <w:rFonts w:ascii="Calibri" w:hAnsi="Calibri"/>
                <w:sz w:val="22"/>
              </w:rPr>
              <w:t>Total Operating Revenues</w:t>
            </w:r>
          </w:p>
        </w:tc>
        <w:tc>
          <w:tcPr>
            <w:tcW w:type="dxa" w:w="1234"/>
          </w:tcPr>
          <w:p>
            <w:r>
              <w:rPr>
                <w:rFonts w:ascii="Calibri" w:hAnsi="Calibri"/>
                <w:sz w:val="22"/>
              </w:rPr>
              <w:t>$4.02B</w:t>
            </w:r>
          </w:p>
        </w:tc>
        <w:tc>
          <w:tcPr>
            <w:tcW w:type="dxa" w:w="1234"/>
          </w:tcPr>
          <w:p>
            <w:r>
              <w:rPr>
                <w:rFonts w:ascii="Calibri" w:hAnsi="Calibri"/>
                <w:sz w:val="22"/>
              </w:rPr>
              <w:t>$3.29B</w:t>
            </w:r>
          </w:p>
        </w:tc>
        <w:tc>
          <w:tcPr>
            <w:tcW w:type="dxa" w:w="1234"/>
          </w:tcPr>
          <w:p>
            <w:r>
              <w:rPr>
                <w:rFonts w:ascii="Calibri" w:hAnsi="Calibri"/>
                <w:sz w:val="22"/>
              </w:rPr>
              <w:t>$3.53B</w:t>
            </w:r>
          </w:p>
        </w:tc>
        <w:tc>
          <w:tcPr>
            <w:tcW w:type="dxa" w:w="1234"/>
          </w:tcPr>
          <w:p>
            <w:r>
              <w:rPr>
                <w:rFonts w:ascii="Calibri" w:hAnsi="Calibri"/>
                <w:sz w:val="22"/>
              </w:rPr>
              <w:t>+7.3%</w:t>
            </w:r>
          </w:p>
        </w:tc>
        <w:tc>
          <w:tcPr>
            <w:tcW w:type="dxa" w:w="1234"/>
          </w:tcPr>
          <w:p>
            <w:r>
              <w:rPr>
                <w:rFonts w:ascii="Calibri" w:hAnsi="Calibri"/>
                <w:sz w:val="22"/>
              </w:rPr>
              <w:t>~$15.7B (FY cons.)</w:t>
            </w:r>
          </w:p>
        </w:tc>
        <w:tc>
          <w:tcPr>
            <w:tcW w:type="dxa" w:w="1234"/>
          </w:tcPr>
          <w:p>
            <w:r>
              <w:rPr>
                <w:rFonts w:ascii="Calibri" w:hAnsi="Calibri"/>
                <w:sz w:val="22"/>
              </w:rPr>
              <w:t>N/A — no quarterly revenue guidance provided</w:t>
            </w:r>
          </w:p>
        </w:tc>
      </w:tr>
      <w:tr>
        <w:tc>
          <w:tcPr>
            <w:tcW w:type="dxa" w:w="1234"/>
          </w:tcPr>
          <w:p>
            <w:r>
              <w:rPr>
                <w:rFonts w:ascii="Calibri" w:hAnsi="Calibri"/>
                <w:sz w:val="22"/>
              </w:rPr>
              <w:t>Total Electric Sales (GWh)</w:t>
            </w:r>
          </w:p>
        </w:tc>
        <w:tc>
          <w:tcPr>
            <w:tcW w:type="dxa" w:w="1234"/>
          </w:tcPr>
          <w:p>
            <w:r>
              <w:rPr>
                <w:rFonts w:ascii="Calibri" w:hAnsi="Calibri"/>
                <w:sz w:val="22"/>
              </w:rPr>
              <w:t>N/A — not reported for Q1 2026 in VA</w:t>
            </w:r>
          </w:p>
        </w:tc>
        <w:tc>
          <w:tcPr>
            <w:tcW w:type="dxa" w:w="1234"/>
          </w:tcPr>
          <w:p>
            <w:r>
              <w:rPr>
                <w:rFonts w:ascii="Calibri" w:hAnsi="Calibri"/>
                <w:sz w:val="22"/>
              </w:rPr>
              <w:t>26,712 GWh</w:t>
            </w:r>
          </w:p>
        </w:tc>
        <w:tc>
          <w:tcPr>
            <w:tcW w:type="dxa" w:w="1234"/>
          </w:tcPr>
          <w:p>
            <w:r>
              <w:rPr>
                <w:rFonts w:ascii="Calibri" w:hAnsi="Calibri"/>
                <w:sz w:val="22"/>
              </w:rPr>
              <w:t>27,218 GWh</w:t>
            </w:r>
          </w:p>
        </w:tc>
        <w:tc>
          <w:tcPr>
            <w:tcW w:type="dxa" w:w="1234"/>
          </w:tcPr>
          <w:p>
            <w:r>
              <w:rPr>
                <w:rFonts w:ascii="Calibri" w:hAnsi="Calibri"/>
                <w:sz w:val="22"/>
              </w:rPr>
              <w:t>+1.9%</w:t>
            </w:r>
          </w:p>
        </w:tc>
        <w:tc>
          <w:tcPr>
            <w:tcW w:type="dxa" w:w="1234"/>
          </w:tcPr>
          <w:p>
            <w:r>
              <w:rPr>
                <w:rFonts w:ascii="Calibri" w:hAnsi="Calibri"/>
                <w:sz w:val="22"/>
              </w:rPr>
              <w:t>Weather-adj. electric sales +3% YoY (FY 2026 guidance)</w:t>
            </w:r>
          </w:p>
        </w:tc>
        <w:tc>
          <w:tcPr>
            <w:tcW w:type="dxa" w:w="1234"/>
          </w:tcPr>
          <w:p>
            <w:r>
              <w:rPr>
                <w:rFonts w:ascii="Calibri" w:hAnsi="Calibri"/>
                <w:sz w:val="22"/>
              </w:rPr>
              <w:t>Cons. implies modest volume growth; data-center ramp is key upside driver</w:t>
            </w:r>
          </w:p>
        </w:tc>
      </w:tr>
      <w:tr>
        <w:tc>
          <w:tcPr>
            <w:tcW w:type="dxa" w:w="1234"/>
          </w:tcPr>
          <w:p>
            <w:r>
              <w:rPr>
                <w:rFonts w:ascii="Calibri" w:hAnsi="Calibri"/>
                <w:sz w:val="22"/>
              </w:rPr>
              <w:t>C&amp;I Electric Sales (GWh)</w:t>
            </w:r>
          </w:p>
        </w:tc>
        <w:tc>
          <w:tcPr>
            <w:tcW w:type="dxa" w:w="1234"/>
          </w:tcPr>
          <w:p>
            <w:r>
              <w:rPr>
                <w:rFonts w:ascii="Calibri" w:hAnsi="Calibri"/>
                <w:sz w:val="22"/>
              </w:rPr>
              <w:t>N/A — not reported for Q1 2026 in VA</w:t>
            </w:r>
          </w:p>
        </w:tc>
        <w:tc>
          <w:tcPr>
            <w:tcW w:type="dxa" w:w="1234"/>
          </w:tcPr>
          <w:p>
            <w:r>
              <w:rPr>
                <w:rFonts w:ascii="Calibri" w:hAnsi="Calibri"/>
                <w:sz w:val="22"/>
              </w:rPr>
              <w:t>16,300 GWh</w:t>
            </w:r>
          </w:p>
        </w:tc>
        <w:tc>
          <w:tcPr>
            <w:tcW w:type="dxa" w:w="1234"/>
          </w:tcPr>
          <w:p>
            <w:r>
              <w:rPr>
                <w:rFonts w:ascii="Calibri" w:hAnsi="Calibri"/>
                <w:sz w:val="22"/>
              </w:rPr>
              <w:t>16,677 GWh</w:t>
            </w:r>
          </w:p>
        </w:tc>
        <w:tc>
          <w:tcPr>
            <w:tcW w:type="dxa" w:w="1234"/>
          </w:tcPr>
          <w:p>
            <w:r>
              <w:rPr>
                <w:rFonts w:ascii="Calibri" w:hAnsi="Calibri"/>
                <w:sz w:val="22"/>
              </w:rPr>
              <w:t>+2.3%</w:t>
            </w:r>
          </w:p>
        </w:tc>
        <w:tc>
          <w:tcPr>
            <w:tcW w:type="dxa" w:w="1234"/>
          </w:tcPr>
          <w:p>
            <w:r>
              <w:rPr>
                <w:rFonts w:ascii="Calibri" w:hAnsi="Calibri"/>
                <w:sz w:val="22"/>
              </w:rPr>
              <w:t>No specific quarterly guidance</w:t>
            </w:r>
          </w:p>
        </w:tc>
        <w:tc>
          <w:tcPr>
            <w:tcW w:type="dxa" w:w="1234"/>
          </w:tcPr>
          <w:p>
            <w:r>
              <w:rPr>
                <w:rFonts w:ascii="Calibri" w:hAnsi="Calibri"/>
                <w:sz w:val="22"/>
              </w:rPr>
              <w:t>N/A — no quarterly C&amp;I guidance</w:t>
            </w:r>
          </w:p>
        </w:tc>
      </w:tr>
    </w:tbl>
    <w:p>
      <w:r>
        <w:rPr>
          <w:rFonts w:ascii="Calibri" w:hAnsi="Calibri"/>
          <w:b/>
          <w:color w:val="525866"/>
          <w:sz w:val="22"/>
        </w:rPr>
        <w:t xml:space="preserve">Sources: </w:t>
      </w:r>
      <w:r>
        <w:rPr>
          <w:rFonts w:ascii="Calibri" w:hAnsi="Calibri"/>
          <w:color w:val="525866"/>
          <w:sz w:val="22"/>
        </w:rPr>
        <w:t>Operating EPS and Total Operating Revenues from Visible Alpha Consensus and Actuals Data. Electric Sales (GWh) from Visible Alpha Consensus and Actuals Data. FY 2026 EPS guidance of $4.04–$4.16 reaffirmed via 8-K filings dated June 22, 2026 and July 13, 2026. Weather-adjusted electric sales growth guidance of +3% from Q1 2026 earnings call (April 30, 2026).</w:t>
      </w:r>
    </w:p>
    <w:p>
      <w:pPr>
        <w:pStyle w:val="Heading3"/>
      </w:pPr>
      <w:r>
        <w:rPr>
          <w:rFonts w:ascii="Calibri" w:hAnsi="Calibri"/>
          <w:b/>
          <w:color w:val="3B4259"/>
          <w:sz w:val="24"/>
        </w:rPr>
        <w:t>Table 2 — Beat / Miss History (Last 8 Quarters — Operating EPS)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EPS</w:t>
            </w:r>
          </w:p>
        </w:tc>
        <w:tc>
          <w:tcPr>
            <w:tcW w:type="dxa" w:w="1728"/>
            <w:shd w:val="clear" w:color="auto" w:fill="3B4259"/>
          </w:tcPr>
          <w:p>
            <w:r>
              <w:rPr>
                <w:rFonts w:ascii="Calibri" w:hAnsi="Calibri"/>
                <w:b/>
                <w:color w:val="FFFFFF"/>
                <w:sz w:val="22"/>
              </w:rPr>
              <w:t>Consensus Est.</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$0.54</w:t>
            </w:r>
          </w:p>
        </w:tc>
        <w:tc>
          <w:tcPr>
            <w:tcW w:type="dxa" w:w="1728"/>
          </w:tcPr>
          <w:p>
            <w:r>
              <w:rPr>
                <w:rFonts w:ascii="Calibri" w:hAnsi="Calibri"/>
                <w:sz w:val="22"/>
              </w:rPr>
              <w:t>$0.54</w:t>
            </w:r>
          </w:p>
        </w:tc>
        <w:tc>
          <w:tcPr>
            <w:tcW w:type="dxa" w:w="1728"/>
          </w:tcPr>
          <w:p>
            <w:r>
              <w:rPr>
                <w:rFonts w:ascii="Calibri" w:hAnsi="Calibri"/>
                <w:sz w:val="22"/>
              </w:rPr>
              <w:t>0.0%</w:t>
            </w:r>
          </w:p>
        </w:tc>
        <w:tc>
          <w:tcPr>
            <w:tcW w:type="dxa" w:w="1728"/>
          </w:tcPr>
          <w:p>
            <w:r>
              <w:rPr>
                <w:rFonts w:ascii="Calibri" w:hAnsi="Calibri"/>
                <w:sz w:val="22"/>
              </w:rPr>
              <w:t>In-Line</w:t>
            </w:r>
          </w:p>
        </w:tc>
      </w:tr>
      <w:tr>
        <w:tc>
          <w:tcPr>
            <w:tcW w:type="dxa" w:w="1728"/>
          </w:tcPr>
          <w:p>
            <w:r>
              <w:rPr>
                <w:rFonts w:ascii="Calibri" w:hAnsi="Calibri"/>
                <w:sz w:val="22"/>
              </w:rPr>
              <w:t>Q3 2024</w:t>
            </w:r>
          </w:p>
        </w:tc>
        <w:tc>
          <w:tcPr>
            <w:tcW w:type="dxa" w:w="1728"/>
          </w:tcPr>
          <w:p>
            <w:r>
              <w:rPr>
                <w:rFonts w:ascii="Calibri" w:hAnsi="Calibri"/>
                <w:sz w:val="22"/>
              </w:rPr>
              <w:t>$1.25</w:t>
            </w:r>
          </w:p>
        </w:tc>
        <w:tc>
          <w:tcPr>
            <w:tcW w:type="dxa" w:w="1728"/>
          </w:tcPr>
          <w:p>
            <w:r>
              <w:rPr>
                <w:rFonts w:ascii="Calibri" w:hAnsi="Calibri"/>
                <w:sz w:val="22"/>
              </w:rPr>
              <w:t>$1.29</w:t>
            </w:r>
          </w:p>
        </w:tc>
        <w:tc>
          <w:tcPr>
            <w:tcW w:type="dxa" w:w="1728"/>
          </w:tcPr>
          <w:p>
            <w:r>
              <w:rPr>
                <w:rFonts w:ascii="Calibri" w:hAnsi="Calibri"/>
                <w:sz w:val="22"/>
              </w:rPr>
              <w:t>−3.1%</w:t>
            </w:r>
          </w:p>
        </w:tc>
        <w:tc>
          <w:tcPr>
            <w:tcW w:type="dxa" w:w="1728"/>
          </w:tcPr>
          <w:p>
            <w:r>
              <w:rPr>
                <w:rFonts w:ascii="Calibri" w:hAnsi="Calibri"/>
                <w:b/>
                <w:color w:val="E5484D"/>
                <w:sz w:val="22"/>
              </w:rPr>
              <w:t>Miss</w:t>
            </w:r>
          </w:p>
        </w:tc>
      </w:tr>
      <w:tr>
        <w:tc>
          <w:tcPr>
            <w:tcW w:type="dxa" w:w="1728"/>
          </w:tcPr>
          <w:p>
            <w:r>
              <w:rPr>
                <w:rFonts w:ascii="Calibri" w:hAnsi="Calibri"/>
                <w:sz w:val="22"/>
              </w:rPr>
              <w:t>Q4 2024</w:t>
            </w:r>
          </w:p>
        </w:tc>
        <w:tc>
          <w:tcPr>
            <w:tcW w:type="dxa" w:w="1728"/>
          </w:tcPr>
          <w:p>
            <w:r>
              <w:rPr>
                <w:rFonts w:ascii="Calibri" w:hAnsi="Calibri"/>
                <w:sz w:val="22"/>
              </w:rPr>
              <w:t>$0.81</w:t>
            </w:r>
          </w:p>
        </w:tc>
        <w:tc>
          <w:tcPr>
            <w:tcW w:type="dxa" w:w="1728"/>
          </w:tcPr>
          <w:p>
            <w:r>
              <w:rPr>
                <w:rFonts w:ascii="Calibri" w:hAnsi="Calibri"/>
                <w:sz w:val="22"/>
              </w:rPr>
              <w:t>$0.87</w:t>
            </w:r>
          </w:p>
        </w:tc>
        <w:tc>
          <w:tcPr>
            <w:tcW w:type="dxa" w:w="1728"/>
          </w:tcPr>
          <w:p>
            <w:r>
              <w:rPr>
                <w:rFonts w:ascii="Calibri" w:hAnsi="Calibri"/>
                <w:sz w:val="22"/>
              </w:rPr>
              <w:t>−6.9%</w:t>
            </w:r>
          </w:p>
        </w:tc>
        <w:tc>
          <w:tcPr>
            <w:tcW w:type="dxa" w:w="1728"/>
          </w:tcPr>
          <w:p>
            <w:r>
              <w:rPr>
                <w:rFonts w:ascii="Calibri" w:hAnsi="Calibri"/>
                <w:b/>
                <w:color w:val="E5484D"/>
                <w:sz w:val="22"/>
              </w:rPr>
              <w:t>Miss</w:t>
            </w:r>
          </w:p>
        </w:tc>
      </w:tr>
      <w:tr>
        <w:tc>
          <w:tcPr>
            <w:tcW w:type="dxa" w:w="1728"/>
          </w:tcPr>
          <w:p>
            <w:r>
              <w:rPr>
                <w:rFonts w:ascii="Calibri" w:hAnsi="Calibri"/>
                <w:sz w:val="22"/>
              </w:rPr>
              <w:t>Q1 2025</w:t>
            </w:r>
          </w:p>
        </w:tc>
        <w:tc>
          <w:tcPr>
            <w:tcW w:type="dxa" w:w="1728"/>
          </w:tcPr>
          <w:p>
            <w:r>
              <w:rPr>
                <w:rFonts w:ascii="Calibri" w:hAnsi="Calibri"/>
                <w:sz w:val="22"/>
              </w:rPr>
              <w:t>$0.84</w:t>
            </w:r>
          </w:p>
        </w:tc>
        <w:tc>
          <w:tcPr>
            <w:tcW w:type="dxa" w:w="1728"/>
          </w:tcPr>
          <w:p>
            <w:r>
              <w:rPr>
                <w:rFonts w:ascii="Calibri" w:hAnsi="Calibri"/>
                <w:sz w:val="22"/>
              </w:rPr>
              <w:t>$0.93</w:t>
            </w:r>
          </w:p>
        </w:tc>
        <w:tc>
          <w:tcPr>
            <w:tcW w:type="dxa" w:w="1728"/>
          </w:tcPr>
          <w:p>
            <w:r>
              <w:rPr>
                <w:rFonts w:ascii="Calibri" w:hAnsi="Calibri"/>
                <w:sz w:val="22"/>
              </w:rPr>
              <w:t>−9.7%</w:t>
            </w:r>
          </w:p>
        </w:tc>
        <w:tc>
          <w:tcPr>
            <w:tcW w:type="dxa" w:w="1728"/>
          </w:tcPr>
          <w:p>
            <w:r>
              <w:rPr>
                <w:rFonts w:ascii="Calibri" w:hAnsi="Calibri"/>
                <w:b/>
                <w:color w:val="E5484D"/>
                <w:sz w:val="22"/>
              </w:rPr>
              <w:t>Miss</w:t>
            </w:r>
          </w:p>
        </w:tc>
      </w:tr>
      <w:tr>
        <w:tc>
          <w:tcPr>
            <w:tcW w:type="dxa" w:w="1728"/>
          </w:tcPr>
          <w:p>
            <w:r>
              <w:rPr>
                <w:rFonts w:ascii="Calibri" w:hAnsi="Calibri"/>
                <w:sz w:val="22"/>
              </w:rPr>
              <w:t>Q2 2025</w:t>
            </w:r>
          </w:p>
        </w:tc>
        <w:tc>
          <w:tcPr>
            <w:tcW w:type="dxa" w:w="1728"/>
          </w:tcPr>
          <w:p>
            <w:r>
              <w:rPr>
                <w:rFonts w:ascii="Calibri" w:hAnsi="Calibri"/>
                <w:sz w:val="22"/>
              </w:rPr>
              <w:t>$0.75</w:t>
            </w:r>
          </w:p>
        </w:tc>
        <w:tc>
          <w:tcPr>
            <w:tcW w:type="dxa" w:w="1728"/>
          </w:tcPr>
          <w:p>
            <w:r>
              <w:rPr>
                <w:rFonts w:ascii="Calibri" w:hAnsi="Calibri"/>
                <w:sz w:val="22"/>
              </w:rPr>
              <w:t>$0.66</w:t>
            </w:r>
          </w:p>
        </w:tc>
        <w:tc>
          <w:tcPr>
            <w:tcW w:type="dxa" w:w="1728"/>
          </w:tcPr>
          <w:p>
            <w:r>
              <w:rPr>
                <w:rFonts w:ascii="Calibri" w:hAnsi="Calibri"/>
                <w:sz w:val="22"/>
              </w:rPr>
              <w:t>+13.6%</w:t>
            </w:r>
          </w:p>
        </w:tc>
        <w:tc>
          <w:tcPr>
            <w:tcW w:type="dxa" w:w="1728"/>
          </w:tcPr>
          <w:p>
            <w:r>
              <w:rPr>
                <w:rFonts w:ascii="Calibri" w:hAnsi="Calibri"/>
                <w:b/>
                <w:color w:val="30A46C"/>
                <w:sz w:val="22"/>
              </w:rPr>
              <w:t>Beat</w:t>
            </w:r>
          </w:p>
        </w:tc>
      </w:tr>
      <w:tr>
        <w:tc>
          <w:tcPr>
            <w:tcW w:type="dxa" w:w="1728"/>
          </w:tcPr>
          <w:p>
            <w:r>
              <w:rPr>
                <w:rFonts w:ascii="Calibri" w:hAnsi="Calibri"/>
                <w:sz w:val="22"/>
              </w:rPr>
              <w:t>Q3 2025</w:t>
            </w:r>
          </w:p>
        </w:tc>
        <w:tc>
          <w:tcPr>
            <w:tcW w:type="dxa" w:w="1728"/>
          </w:tcPr>
          <w:p>
            <w:r>
              <w:rPr>
                <w:rFonts w:ascii="Calibri" w:hAnsi="Calibri"/>
                <w:sz w:val="22"/>
              </w:rPr>
              <w:t>$1.24</w:t>
            </w:r>
          </w:p>
        </w:tc>
        <w:tc>
          <w:tcPr>
            <w:tcW w:type="dxa" w:w="1728"/>
          </w:tcPr>
          <w:p>
            <w:r>
              <w:rPr>
                <w:rFonts w:ascii="Calibri" w:hAnsi="Calibri"/>
                <w:sz w:val="22"/>
              </w:rPr>
              <w:t>$1.32</w:t>
            </w:r>
          </w:p>
        </w:tc>
        <w:tc>
          <w:tcPr>
            <w:tcW w:type="dxa" w:w="1728"/>
          </w:tcPr>
          <w:p>
            <w:r>
              <w:rPr>
                <w:rFonts w:ascii="Calibri" w:hAnsi="Calibri"/>
                <w:sz w:val="22"/>
              </w:rPr>
              <w:t>−6.1%</w:t>
            </w:r>
          </w:p>
        </w:tc>
        <w:tc>
          <w:tcPr>
            <w:tcW w:type="dxa" w:w="1728"/>
          </w:tcPr>
          <w:p>
            <w:r>
              <w:rPr>
                <w:rFonts w:ascii="Calibri" w:hAnsi="Calibri"/>
                <w:b/>
                <w:color w:val="E5484D"/>
                <w:sz w:val="22"/>
              </w:rPr>
              <w:t>Miss</w:t>
            </w:r>
          </w:p>
        </w:tc>
      </w:tr>
      <w:tr>
        <w:tc>
          <w:tcPr>
            <w:tcW w:type="dxa" w:w="1728"/>
          </w:tcPr>
          <w:p>
            <w:r>
              <w:rPr>
                <w:rFonts w:ascii="Calibri" w:hAnsi="Calibri"/>
                <w:sz w:val="22"/>
              </w:rPr>
              <w:t>Q4 2025</w:t>
            </w:r>
          </w:p>
        </w:tc>
        <w:tc>
          <w:tcPr>
            <w:tcW w:type="dxa" w:w="1728"/>
          </w:tcPr>
          <w:p>
            <w:r>
              <w:rPr>
                <w:rFonts w:ascii="Calibri" w:hAnsi="Calibri"/>
                <w:sz w:val="22"/>
              </w:rPr>
              <w:t>$0.96</w:t>
            </w:r>
          </w:p>
        </w:tc>
        <w:tc>
          <w:tcPr>
            <w:tcW w:type="dxa" w:w="1728"/>
          </w:tcPr>
          <w:p>
            <w:r>
              <w:rPr>
                <w:rFonts w:ascii="Calibri" w:hAnsi="Calibri"/>
                <w:sz w:val="22"/>
              </w:rPr>
              <w:t>$0.95</w:t>
            </w:r>
          </w:p>
        </w:tc>
        <w:tc>
          <w:tcPr>
            <w:tcW w:type="dxa" w:w="1728"/>
          </w:tcPr>
          <w:p>
            <w:r>
              <w:rPr>
                <w:rFonts w:ascii="Calibri" w:hAnsi="Calibri"/>
                <w:sz w:val="22"/>
              </w:rPr>
              <w:t>+1.1%</w:t>
            </w:r>
          </w:p>
        </w:tc>
        <w:tc>
          <w:tcPr>
            <w:tcW w:type="dxa" w:w="1728"/>
          </w:tcPr>
          <w:p>
            <w:r>
              <w:rPr>
                <w:rFonts w:ascii="Calibri" w:hAnsi="Calibri"/>
                <w:b/>
                <w:color w:val="30A46C"/>
                <w:sz w:val="22"/>
              </w:rPr>
              <w:t>In-Line / Slight Beat</w:t>
            </w:r>
          </w:p>
        </w:tc>
      </w:tr>
      <w:tr>
        <w:tc>
          <w:tcPr>
            <w:tcW w:type="dxa" w:w="1728"/>
          </w:tcPr>
          <w:p>
            <w:r>
              <w:rPr>
                <w:rFonts w:ascii="Calibri" w:hAnsi="Calibri"/>
                <w:sz w:val="22"/>
              </w:rPr>
              <w:t>Q1 2026</w:t>
            </w:r>
          </w:p>
        </w:tc>
        <w:tc>
          <w:tcPr>
            <w:tcW w:type="dxa" w:w="1728"/>
          </w:tcPr>
          <w:p>
            <w:r>
              <w:rPr>
                <w:rFonts w:ascii="Calibri" w:hAnsi="Calibri"/>
                <w:sz w:val="22"/>
              </w:rPr>
              <w:t>$0.91</w:t>
            </w:r>
          </w:p>
        </w:tc>
        <w:tc>
          <w:tcPr>
            <w:tcW w:type="dxa" w:w="1728"/>
          </w:tcPr>
          <w:p>
            <w:r>
              <w:rPr>
                <w:rFonts w:ascii="Calibri" w:hAnsi="Calibri"/>
                <w:sz w:val="22"/>
              </w:rPr>
              <w:t>$0.90</w:t>
            </w:r>
          </w:p>
        </w:tc>
        <w:tc>
          <w:tcPr>
            <w:tcW w:type="dxa" w:w="1728"/>
          </w:tcPr>
          <w:p>
            <w:r>
              <w:rPr>
                <w:rFonts w:ascii="Calibri" w:hAnsi="Calibri"/>
                <w:sz w:val="22"/>
              </w:rPr>
              <w:t>+1.1%</w:t>
            </w:r>
          </w:p>
        </w:tc>
        <w:tc>
          <w:tcPr>
            <w:tcW w:type="dxa" w:w="1728"/>
          </w:tcPr>
          <w:p>
            <w:r>
              <w:rPr>
                <w:rFonts w:ascii="Calibri" w:hAnsi="Calibri"/>
                <w:b/>
                <w:color w:val="30A46C"/>
                <w:sz w:val="22"/>
              </w:rPr>
              <w:t>In-Line / Slight Beat</w:t>
            </w:r>
          </w:p>
        </w:tc>
      </w:tr>
    </w:tbl>
    <w:p>
      <w:r>
        <w:rPr>
          <w:rFonts w:ascii="Calibri" w:hAnsi="Calibri"/>
          <w:b/>
          <w:color w:val="525866"/>
          <w:sz w:val="22"/>
        </w:rPr>
        <w:t xml:space="preserve">Pattern: </w:t>
      </w:r>
      <w:r>
        <w:rPr>
          <w:rFonts w:ascii="Calibri" w:hAnsi="Calibri"/>
          <w:color w:val="525866"/>
          <w:sz w:val="22"/>
        </w:rPr>
        <w:t>XEL has missed consensus in 4 of the last 8 quarters, with misses concentrated in Q3 2024, Q4 2024, Q1 2025, and Q3 2025 — all periods where weather or regulatory timing weighed on results. The two most recent quarters (Q4 2025 and Q1 2026) show a stabilizing trend of in-line delivery, consistent with management’s 22-consecutive-year track record of meeting annual guidance even when individual quarters disappoint. Source: Visible Alpha Consensus and Actuals Data.</w:t>
      </w:r>
    </w:p>
    <w:p>
      <w:pPr>
        <w:pStyle w:val="Heading3"/>
      </w:pPr>
      <w:r>
        <w:rPr>
          <w:rFonts w:ascii="Calibri" w:hAnsi="Calibri"/>
          <w:b/>
          <w:color w:val="3B4259"/>
          <w:sz w:val="24"/>
        </w:rPr>
        <w:t>Table 2B — Beat / Miss History (Last 8 Quarters — Total Electric Sales GWh)</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(GWh)</w:t>
            </w:r>
          </w:p>
        </w:tc>
        <w:tc>
          <w:tcPr>
            <w:tcW w:type="dxa" w:w="1728"/>
            <w:shd w:val="clear" w:color="auto" w:fill="3B4259"/>
          </w:tcPr>
          <w:p>
            <w:r>
              <w:rPr>
                <w:rFonts w:ascii="Calibri" w:hAnsi="Calibri"/>
                <w:b/>
                <w:color w:val="FFFFFF"/>
                <w:sz w:val="22"/>
              </w:rPr>
              <w:t>Consensus Est. (GWh)</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29,112</w:t>
            </w:r>
          </w:p>
        </w:tc>
        <w:tc>
          <w:tcPr>
            <w:tcW w:type="dxa" w:w="1728"/>
          </w:tcPr>
          <w:p>
            <w:r>
              <w:rPr>
                <w:rFonts w:ascii="Calibri" w:hAnsi="Calibri"/>
                <w:sz w:val="22"/>
              </w:rPr>
              <w:t>28,156</w:t>
            </w:r>
          </w:p>
        </w:tc>
        <w:tc>
          <w:tcPr>
            <w:tcW w:type="dxa" w:w="1728"/>
          </w:tcPr>
          <w:p>
            <w:r>
              <w:rPr>
                <w:rFonts w:ascii="Calibri" w:hAnsi="Calibri"/>
                <w:sz w:val="22"/>
              </w:rPr>
              <w:t>+3.4%</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33,413</w:t>
            </w:r>
          </w:p>
        </w:tc>
        <w:tc>
          <w:tcPr>
            <w:tcW w:type="dxa" w:w="1728"/>
          </w:tcPr>
          <w:p>
            <w:r>
              <w:rPr>
                <w:rFonts w:ascii="Calibri" w:hAnsi="Calibri"/>
                <w:sz w:val="22"/>
              </w:rPr>
              <w:t>33,638</w:t>
            </w:r>
          </w:p>
        </w:tc>
        <w:tc>
          <w:tcPr>
            <w:tcW w:type="dxa" w:w="1728"/>
          </w:tcPr>
          <w:p>
            <w:r>
              <w:rPr>
                <w:rFonts w:ascii="Calibri" w:hAnsi="Calibri"/>
                <w:sz w:val="22"/>
              </w:rPr>
              <w:t>−0.7%</w:t>
            </w:r>
          </w:p>
        </w:tc>
        <w:tc>
          <w:tcPr>
            <w:tcW w:type="dxa" w:w="1728"/>
          </w:tcPr>
          <w:p>
            <w:r>
              <w:rPr>
                <w:rFonts w:ascii="Calibri" w:hAnsi="Calibri"/>
                <w:sz w:val="22"/>
              </w:rPr>
              <w:t>In-Line / Slight Miss</w:t>
            </w:r>
          </w:p>
        </w:tc>
      </w:tr>
      <w:tr>
        <w:tc>
          <w:tcPr>
            <w:tcW w:type="dxa" w:w="1728"/>
          </w:tcPr>
          <w:p>
            <w:r>
              <w:rPr>
                <w:rFonts w:ascii="Calibri" w:hAnsi="Calibri"/>
                <w:sz w:val="22"/>
              </w:rPr>
              <w:t>Q4 2024</w:t>
            </w:r>
          </w:p>
        </w:tc>
        <w:tc>
          <w:tcPr>
            <w:tcW w:type="dxa" w:w="1728"/>
          </w:tcPr>
          <w:p>
            <w:r>
              <w:rPr>
                <w:rFonts w:ascii="Calibri" w:hAnsi="Calibri"/>
                <w:sz w:val="22"/>
              </w:rPr>
              <w:t>28,732</w:t>
            </w:r>
          </w:p>
        </w:tc>
        <w:tc>
          <w:tcPr>
            <w:tcW w:type="dxa" w:w="1728"/>
          </w:tcPr>
          <w:p>
            <w:r>
              <w:rPr>
                <w:rFonts w:ascii="Calibri" w:hAnsi="Calibri"/>
                <w:sz w:val="22"/>
              </w:rPr>
              <w:t>29,281</w:t>
            </w:r>
          </w:p>
        </w:tc>
        <w:tc>
          <w:tcPr>
            <w:tcW w:type="dxa" w:w="1728"/>
          </w:tcPr>
          <w:p>
            <w:r>
              <w:rPr>
                <w:rFonts w:ascii="Calibri" w:hAnsi="Calibri"/>
                <w:sz w:val="22"/>
              </w:rPr>
              <w:t>−1.9%</w:t>
            </w:r>
          </w:p>
        </w:tc>
        <w:tc>
          <w:tcPr>
            <w:tcW w:type="dxa" w:w="1728"/>
          </w:tcPr>
          <w:p>
            <w:r>
              <w:rPr>
                <w:rFonts w:ascii="Calibri" w:hAnsi="Calibri"/>
                <w:b/>
                <w:color w:val="E5484D"/>
                <w:sz w:val="22"/>
              </w:rPr>
              <w:t>Miss</w:t>
            </w:r>
          </w:p>
        </w:tc>
      </w:tr>
      <w:tr>
        <w:tc>
          <w:tcPr>
            <w:tcW w:type="dxa" w:w="1728"/>
          </w:tcPr>
          <w:p>
            <w:r>
              <w:rPr>
                <w:rFonts w:ascii="Calibri" w:hAnsi="Calibri"/>
                <w:sz w:val="22"/>
              </w:rPr>
              <w:t>Q1 2025</w:t>
            </w:r>
          </w:p>
        </w:tc>
        <w:tc>
          <w:tcPr>
            <w:tcW w:type="dxa" w:w="1728"/>
          </w:tcPr>
          <w:p>
            <w:r>
              <w:rPr>
                <w:rFonts w:ascii="Calibri" w:hAnsi="Calibri"/>
                <w:sz w:val="22"/>
              </w:rPr>
              <w:t>29,091</w:t>
            </w:r>
          </w:p>
        </w:tc>
        <w:tc>
          <w:tcPr>
            <w:tcW w:type="dxa" w:w="1728"/>
          </w:tcPr>
          <w:p>
            <w:r>
              <w:rPr>
                <w:rFonts w:ascii="Calibri" w:hAnsi="Calibri"/>
                <w:sz w:val="22"/>
              </w:rPr>
              <w:t>29,273</w:t>
            </w:r>
          </w:p>
        </w:tc>
        <w:tc>
          <w:tcPr>
            <w:tcW w:type="dxa" w:w="1728"/>
          </w:tcPr>
          <w:p>
            <w:r>
              <w:rPr>
                <w:rFonts w:ascii="Calibri" w:hAnsi="Calibri"/>
                <w:sz w:val="22"/>
              </w:rPr>
              <w:t>−0.6%</w:t>
            </w:r>
          </w:p>
        </w:tc>
        <w:tc>
          <w:tcPr>
            <w:tcW w:type="dxa" w:w="1728"/>
          </w:tcPr>
          <w:p>
            <w:r>
              <w:rPr>
                <w:rFonts w:ascii="Calibri" w:hAnsi="Calibri"/>
                <w:sz w:val="22"/>
              </w:rPr>
              <w:t>In-Line / Slight Miss</w:t>
            </w:r>
          </w:p>
        </w:tc>
      </w:tr>
      <w:tr>
        <w:tc>
          <w:tcPr>
            <w:tcW w:type="dxa" w:w="1728"/>
          </w:tcPr>
          <w:p>
            <w:r>
              <w:rPr>
                <w:rFonts w:ascii="Calibri" w:hAnsi="Calibri"/>
                <w:sz w:val="22"/>
              </w:rPr>
              <w:t>Q2 2025</w:t>
            </w:r>
          </w:p>
        </w:tc>
        <w:tc>
          <w:tcPr>
            <w:tcW w:type="dxa" w:w="1728"/>
          </w:tcPr>
          <w:p>
            <w:r>
              <w:rPr>
                <w:rFonts w:ascii="Calibri" w:hAnsi="Calibri"/>
                <w:sz w:val="22"/>
              </w:rPr>
              <w:t>26,712</w:t>
            </w:r>
          </w:p>
        </w:tc>
        <w:tc>
          <w:tcPr>
            <w:tcW w:type="dxa" w:w="1728"/>
          </w:tcPr>
          <w:p>
            <w:r>
              <w:rPr>
                <w:rFonts w:ascii="Calibri" w:hAnsi="Calibri"/>
                <w:sz w:val="22"/>
              </w:rPr>
              <w:t>29,181</w:t>
            </w:r>
          </w:p>
        </w:tc>
        <w:tc>
          <w:tcPr>
            <w:tcW w:type="dxa" w:w="1728"/>
          </w:tcPr>
          <w:p>
            <w:r>
              <w:rPr>
                <w:rFonts w:ascii="Calibri" w:hAnsi="Calibri"/>
                <w:sz w:val="22"/>
              </w:rPr>
              <w:t>−8.5%</w:t>
            </w:r>
          </w:p>
        </w:tc>
        <w:tc>
          <w:tcPr>
            <w:tcW w:type="dxa" w:w="1728"/>
          </w:tcPr>
          <w:p>
            <w:r>
              <w:rPr>
                <w:rFonts w:ascii="Calibri" w:hAnsi="Calibri"/>
                <w:b/>
                <w:color w:val="E5484D"/>
                <w:sz w:val="22"/>
              </w:rPr>
              <w:t>Miss</w:t>
            </w:r>
          </w:p>
        </w:tc>
      </w:tr>
      <w:tr>
        <w:tc>
          <w:tcPr>
            <w:tcW w:type="dxa" w:w="1728"/>
          </w:tcPr>
          <w:p>
            <w:r>
              <w:rPr>
                <w:rFonts w:ascii="Calibri" w:hAnsi="Calibri"/>
                <w:sz w:val="22"/>
              </w:rPr>
              <w:t>Q3 2025</w:t>
            </w:r>
          </w:p>
        </w:tc>
        <w:tc>
          <w:tcPr>
            <w:tcW w:type="dxa" w:w="1728"/>
          </w:tcPr>
          <w:p>
            <w:r>
              <w:rPr>
                <w:rFonts w:ascii="Calibri" w:hAnsi="Calibri"/>
                <w:sz w:val="22"/>
              </w:rPr>
              <w:t>31,281</w:t>
            </w:r>
          </w:p>
        </w:tc>
        <w:tc>
          <w:tcPr>
            <w:tcW w:type="dxa" w:w="1728"/>
          </w:tcPr>
          <w:p>
            <w:r>
              <w:rPr>
                <w:rFonts w:ascii="Calibri" w:hAnsi="Calibri"/>
                <w:sz w:val="22"/>
              </w:rPr>
              <w:t>34,073</w:t>
            </w:r>
          </w:p>
        </w:tc>
        <w:tc>
          <w:tcPr>
            <w:tcW w:type="dxa" w:w="1728"/>
          </w:tcPr>
          <w:p>
            <w:r>
              <w:rPr>
                <w:rFonts w:ascii="Calibri" w:hAnsi="Calibri"/>
                <w:sz w:val="22"/>
              </w:rPr>
              <w:t>−8.2%</w:t>
            </w:r>
          </w:p>
        </w:tc>
        <w:tc>
          <w:tcPr>
            <w:tcW w:type="dxa" w:w="1728"/>
          </w:tcPr>
          <w:p>
            <w:r>
              <w:rPr>
                <w:rFonts w:ascii="Calibri" w:hAnsi="Calibri"/>
                <w:b/>
                <w:color w:val="E5484D"/>
                <w:sz w:val="22"/>
              </w:rPr>
              <w:t>Miss</w:t>
            </w:r>
          </w:p>
        </w:tc>
      </w:tr>
      <w:tr>
        <w:tc>
          <w:tcPr>
            <w:tcW w:type="dxa" w:w="1728"/>
          </w:tcPr>
          <w:p>
            <w:r>
              <w:rPr>
                <w:rFonts w:ascii="Calibri" w:hAnsi="Calibri"/>
                <w:sz w:val="22"/>
              </w:rPr>
              <w:t>Q4 2025</w:t>
            </w:r>
          </w:p>
        </w:tc>
        <w:tc>
          <w:tcPr>
            <w:tcW w:type="dxa" w:w="1728"/>
          </w:tcPr>
          <w:p>
            <w:r>
              <w:rPr>
                <w:rFonts w:ascii="Calibri" w:hAnsi="Calibri"/>
                <w:sz w:val="22"/>
              </w:rPr>
              <w:t>28,905</w:t>
            </w:r>
          </w:p>
        </w:tc>
        <w:tc>
          <w:tcPr>
            <w:tcW w:type="dxa" w:w="1728"/>
          </w:tcPr>
          <w:p>
            <w:r>
              <w:rPr>
                <w:rFonts w:ascii="Calibri" w:hAnsi="Calibri"/>
                <w:sz w:val="22"/>
              </w:rPr>
              <w:t>29,091</w:t>
            </w:r>
          </w:p>
        </w:tc>
        <w:tc>
          <w:tcPr>
            <w:tcW w:type="dxa" w:w="1728"/>
          </w:tcPr>
          <w:p>
            <w:r>
              <w:rPr>
                <w:rFonts w:ascii="Calibri" w:hAnsi="Calibri"/>
                <w:sz w:val="22"/>
              </w:rPr>
              <w:t>−0.6%</w:t>
            </w:r>
          </w:p>
        </w:tc>
        <w:tc>
          <w:tcPr>
            <w:tcW w:type="dxa" w:w="1728"/>
          </w:tcPr>
          <w:p>
            <w:r>
              <w:rPr>
                <w:rFonts w:ascii="Calibri" w:hAnsi="Calibri"/>
                <w:sz w:val="22"/>
              </w:rPr>
              <w:t>In-Line / Slight Miss</w:t>
            </w:r>
          </w:p>
        </w:tc>
      </w:tr>
      <w:tr>
        <w:tc>
          <w:tcPr>
            <w:tcW w:type="dxa" w:w="1728"/>
          </w:tcPr>
          <w:p>
            <w:r>
              <w:rPr>
                <w:rFonts w:ascii="Calibri" w:hAnsi="Calibri"/>
                <w:sz w:val="22"/>
              </w:rPr>
              <w:t>Q1 2026</w:t>
            </w:r>
          </w:p>
        </w:tc>
        <w:tc>
          <w:tcPr>
            <w:tcW w:type="dxa" w:w="1728"/>
          </w:tcPr>
          <w:p>
            <w:r>
              <w:rPr>
                <w:rFonts w:ascii="Calibri" w:hAnsi="Calibri"/>
                <w:sz w:val="22"/>
              </w:rPr>
              <w:t>N/A — not yet in VA</w:t>
            </w:r>
          </w:p>
        </w:tc>
        <w:tc>
          <w:tcPr>
            <w:tcW w:type="dxa" w:w="1728"/>
          </w:tcPr>
          <w:p>
            <w:r>
              <w:rPr>
                <w:rFonts w:ascii="Calibri" w:hAnsi="Calibri"/>
                <w:sz w:val="22"/>
              </w:rPr>
              <w:t>27,218</w:t>
            </w:r>
          </w:p>
        </w:tc>
        <w:tc>
          <w:tcPr>
            <w:tcW w:type="dxa" w:w="1728"/>
          </w:tcPr>
          <w:p>
            <w:r>
              <w:rPr>
                <w:rFonts w:ascii="Calibri" w:hAnsi="Calibri"/>
                <w:sz w:val="22"/>
              </w:rPr>
              <w:t>N/A</w:t>
            </w:r>
          </w:p>
        </w:tc>
        <w:tc>
          <w:tcPr>
            <w:tcW w:type="dxa" w:w="1728"/>
          </w:tcPr>
          <w:p>
            <w:r>
              <w:rPr>
                <w:rFonts w:ascii="Calibri" w:hAnsi="Calibri"/>
                <w:sz w:val="22"/>
              </w:rPr>
              <w:t>N/A</w:t>
            </w:r>
          </w:p>
        </w:tc>
      </w:tr>
    </w:tbl>
    <w:p>
      <w:r>
        <w:rPr>
          <w:rFonts w:ascii="Calibri" w:hAnsi="Calibri"/>
          <w:b/>
          <w:color w:val="525866"/>
          <w:sz w:val="22"/>
        </w:rPr>
        <w:t xml:space="preserve">Pattern: </w:t>
      </w:r>
      <w:r>
        <w:rPr>
          <w:rFonts w:ascii="Calibri" w:hAnsi="Calibri"/>
          <w:color w:val="525866"/>
          <w:sz w:val="22"/>
        </w:rPr>
        <w:t>Electric sales volumes have consistently come in below consensus in recent quarters, driven by weather variability and the timing of large-load ramp. The Q2 2025 and Q3 2025 misses were particularly large (−8%+), partly reflecting consensus models that had not yet adjusted for weather normalization. The Q2 2026 consensus of 27,218 GWh is set modestly above the Q2 2025 actual of 26,712 GWh, implying a low bar on volume.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Full-year EPS guidance has been reaffirmed twice since Q1 earnings with no change to the range; the tone has shifted incrementally more positive as multiple rate cases resolved constructively and data-center contracting visibility improved.</w:t>
      </w:r>
    </w:p>
    <w:p>
      <w:r>
        <w:rPr>
          <w:rFonts w:ascii="Calibri" w:hAnsi="Calibri"/>
          <w:b/>
          <w:color w:val="525866"/>
          <w:sz w:val="22"/>
        </w:rPr>
        <w:t xml:space="preserve">Baseline: Q1 2026 Earnings Call — April 30, 2026. </w:t>
      </w:r>
      <w:r>
        <w:rPr>
          <w:rFonts w:ascii="Calibri" w:hAnsi="Calibri"/>
          <w:color w:val="525866"/>
          <w:sz w:val="22"/>
        </w:rPr>
        <w:t>Management reaffirmed FY 2026 ongoing EPS guidance of $4.04–$4.16 and full-year weather-adjusted electric sales growth of +3%. No quarterly EPS guidance is provided. Post-earnings, two 8-K filings (June 22 and July 13) each explicitly reaffirmed the same guidance range with no revision.</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 Apr 30, 2026)</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FY 2026 Operating EPS</w:t>
            </w:r>
          </w:p>
        </w:tc>
        <w:tc>
          <w:tcPr>
            <w:tcW w:type="dxa" w:w="1728"/>
          </w:tcPr>
          <w:p>
            <w:r>
              <w:rPr>
                <w:rFonts w:ascii="Calibri" w:hAnsi="Calibri"/>
                <w:sz w:val="22"/>
              </w:rPr>
              <w:t>$4.04–$4.16 ($4.10 midpoint)</w:t>
            </w:r>
          </w:p>
        </w:tc>
        <w:tc>
          <w:tcPr>
            <w:tcW w:type="dxa" w:w="1728"/>
          </w:tcPr>
          <w:p>
            <w:r>
              <w:rPr>
                <w:rFonts w:ascii="Calibri" w:hAnsi="Calibri"/>
                <w:sz w:val="22"/>
              </w:rPr>
              <w:t>Unchanged</w:t>
            </w:r>
          </w:p>
        </w:tc>
        <w:tc>
          <w:tcPr>
            <w:tcW w:type="dxa" w:w="1728"/>
          </w:tcPr>
          <w:p>
            <w:r>
              <w:rPr>
                <w:rFonts w:ascii="Calibri" w:hAnsi="Calibri"/>
                <w:sz w:val="22"/>
              </w:rPr>
              <w:t>$4.12 (Visible Alpha)</w:t>
            </w:r>
          </w:p>
        </w:tc>
        <w:tc>
          <w:tcPr>
            <w:tcW w:type="dxa" w:w="1728"/>
          </w:tcPr>
          <w:p>
            <w:r>
              <w:rPr>
                <w:rFonts w:ascii="Calibri" w:hAnsi="Calibri"/>
                <w:sz w:val="22"/>
              </w:rPr>
              <w:t>Reaffirmed via 8-K Jun 22, 2026 (SPS NM stipulation) and 8-K Jul 13, 2026 (PSCo CO gas settlement); tone consistently confident; consensus sits $0.02 above midpoint, implying slight upward bias</w:t>
            </w:r>
          </w:p>
        </w:tc>
      </w:tr>
      <w:tr>
        <w:tc>
          <w:tcPr>
            <w:tcW w:type="dxa" w:w="1728"/>
          </w:tcPr>
          <w:p>
            <w:r>
              <w:rPr>
                <w:rFonts w:ascii="Calibri" w:hAnsi="Calibri"/>
                <w:sz w:val="22"/>
              </w:rPr>
              <w:t>FY 2026 Weather-Adj. Electric Sales Growth</w:t>
            </w:r>
          </w:p>
        </w:tc>
        <w:tc>
          <w:tcPr>
            <w:tcW w:type="dxa" w:w="1728"/>
          </w:tcPr>
          <w:p>
            <w:r>
              <w:rPr>
                <w:rFonts w:ascii="Calibri" w:hAnsi="Calibri"/>
                <w:sz w:val="22"/>
              </w:rPr>
              <w:t>+3% YoY</w:t>
            </w:r>
          </w:p>
        </w:tc>
        <w:tc>
          <w:tcPr>
            <w:tcW w:type="dxa" w:w="1728"/>
          </w:tcPr>
          <w:p>
            <w:r>
              <w:rPr>
                <w:rFonts w:ascii="Calibri" w:hAnsi="Calibri"/>
                <w:sz w:val="22"/>
              </w:rPr>
              <w:t>Unchanged</w:t>
            </w:r>
          </w:p>
        </w:tc>
        <w:tc>
          <w:tcPr>
            <w:tcW w:type="dxa" w:w="1728"/>
          </w:tcPr>
          <w:p>
            <w:r>
              <w:rPr>
                <w:rFonts w:ascii="Calibri" w:hAnsi="Calibri"/>
                <w:sz w:val="22"/>
              </w:rPr>
              <w:t>~+1.9% implied by Q2 cons. GWh vs. PY</w:t>
            </w:r>
          </w:p>
        </w:tc>
        <w:tc>
          <w:tcPr>
            <w:tcW w:type="dxa" w:w="1728"/>
          </w:tcPr>
          <w:p>
            <w:r>
              <w:rPr>
                <w:rFonts w:ascii="Calibri" w:hAnsi="Calibri"/>
                <w:sz w:val="22"/>
              </w:rPr>
              <w:t>No post-earnings revision; Q1 2026 weather-adj. electric sales grew +2.8% (in-line with trajectory); data-center ramp expected to accelerate H2</w:t>
            </w:r>
          </w:p>
        </w:tc>
      </w:tr>
      <w:tr>
        <w:tc>
          <w:tcPr>
            <w:tcW w:type="dxa" w:w="1728"/>
          </w:tcPr>
          <w:p>
            <w:r>
              <w:rPr>
                <w:rFonts w:ascii="Calibri" w:hAnsi="Calibri"/>
                <w:sz w:val="22"/>
              </w:rPr>
              <w:t>Long-Term EPS Growth (2026–2030)</w:t>
            </w:r>
          </w:p>
        </w:tc>
        <w:tc>
          <w:tcPr>
            <w:tcW w:type="dxa" w:w="1728"/>
          </w:tcPr>
          <w:p>
            <w:r>
              <w:rPr>
                <w:rFonts w:ascii="Calibri" w:hAnsi="Calibri"/>
                <w:sz w:val="22"/>
              </w:rPr>
              <w:t>6%–8%+ (avg. 9% through 2030)</w:t>
            </w:r>
          </w:p>
        </w:tc>
        <w:tc>
          <w:tcPr>
            <w:tcW w:type="dxa" w:w="1728"/>
          </w:tcPr>
          <w:p>
            <w:r>
              <w:rPr>
                <w:rFonts w:ascii="Calibri" w:hAnsi="Calibri"/>
                <w:sz w:val="22"/>
              </w:rPr>
              <w:t>Unchanged</w:t>
            </w:r>
          </w:p>
        </w:tc>
        <w:tc>
          <w:tcPr>
            <w:tcW w:type="dxa" w:w="1728"/>
          </w:tcPr>
          <w:p>
            <w:r>
              <w:rPr>
                <w:rFonts w:ascii="Calibri" w:hAnsi="Calibri"/>
                <w:sz w:val="22"/>
              </w:rPr>
              <w:t>N/A — not a consensus-tracked metric</w:t>
            </w:r>
          </w:p>
        </w:tc>
        <w:tc>
          <w:tcPr>
            <w:tcW w:type="dxa" w:w="1728"/>
          </w:tcPr>
          <w:p>
            <w:r>
              <w:rPr>
                <w:rFonts w:ascii="Calibri" w:hAnsi="Calibri"/>
                <w:sz w:val="22"/>
              </w:rPr>
              <w:t>Management expects to deliver in upper half of range; data-center pipeline provides upside beyond stated range</w:t>
            </w:r>
          </w:p>
        </w:tc>
      </w:tr>
      <w:tr>
        <w:tc>
          <w:tcPr>
            <w:tcW w:type="dxa" w:w="1728"/>
          </w:tcPr>
          <w:p>
            <w:r>
              <w:rPr>
                <w:rFonts w:ascii="Calibri" w:hAnsi="Calibri"/>
                <w:sz w:val="22"/>
              </w:rPr>
              <w:t>Data Center Contracted Capacity Target</w:t>
            </w:r>
          </w:p>
        </w:tc>
        <w:tc>
          <w:tcPr>
            <w:tcW w:type="dxa" w:w="1728"/>
          </w:tcPr>
          <w:p>
            <w:r>
              <w:rPr>
                <w:rFonts w:ascii="Calibri" w:hAnsi="Calibri"/>
                <w:sz w:val="22"/>
              </w:rPr>
              <w:t>6 GW by year-end 2027</w:t>
            </w:r>
          </w:p>
        </w:tc>
        <w:tc>
          <w:tcPr>
            <w:tcW w:type="dxa" w:w="1728"/>
          </w:tcPr>
          <w:p>
            <w:r>
              <w:rPr>
                <w:rFonts w:ascii="Calibri" w:hAnsi="Calibri"/>
                <w:sz w:val="22"/>
              </w:rPr>
              <w:t>Unchanged</w:t>
            </w:r>
          </w:p>
        </w:tc>
        <w:tc>
          <w:tcPr>
            <w:tcW w:type="dxa" w:w="1728"/>
          </w:tcPr>
          <w:p>
            <w:r>
              <w:rPr>
                <w:rFonts w:ascii="Calibri" w:hAnsi="Calibri"/>
                <w:sz w:val="22"/>
              </w:rPr>
              <w:t>N/A — not a consensus-tracked metric</w:t>
            </w:r>
          </w:p>
        </w:tc>
        <w:tc>
          <w:tcPr>
            <w:tcW w:type="dxa" w:w="1728"/>
          </w:tcPr>
          <w:p>
            <w:r>
              <w:rPr>
                <w:rFonts w:ascii="Calibri" w:hAnsi="Calibri"/>
                <w:sz w:val="22"/>
              </w:rPr>
              <w:t>4 additional GW to be contracted by end-2027 (incl. 2 GW via NextEra JDA); large-load tariff filed in Colorado (Apr 2026); similar filings planned for TX, NM, WI</w:t>
            </w:r>
          </w:p>
        </w:tc>
      </w:tr>
      <w:tr>
        <w:tc>
          <w:tcPr>
            <w:tcW w:type="dxa" w:w="1728"/>
          </w:tcPr>
          <w:p>
            <w:r>
              <w:rPr>
                <w:rFonts w:ascii="Calibri" w:hAnsi="Calibri"/>
                <w:sz w:val="22"/>
              </w:rPr>
              <w:t>FY 2026 Capital Investment</w:t>
            </w:r>
          </w:p>
        </w:tc>
        <w:tc>
          <w:tcPr>
            <w:tcW w:type="dxa" w:w="1728"/>
          </w:tcPr>
          <w:p>
            <w:r>
              <w:rPr>
                <w:rFonts w:ascii="Calibri" w:hAnsi="Calibri"/>
                <w:sz w:val="22"/>
              </w:rPr>
              <w:t>$14B (most extensive in company history)</w:t>
            </w:r>
          </w:p>
        </w:tc>
        <w:tc>
          <w:tcPr>
            <w:tcW w:type="dxa" w:w="1728"/>
          </w:tcPr>
          <w:p>
            <w:r>
              <w:rPr>
                <w:rFonts w:ascii="Calibri" w:hAnsi="Calibri"/>
                <w:sz w:val="22"/>
              </w:rPr>
              <w:t>Unchanged</w:t>
            </w:r>
          </w:p>
        </w:tc>
        <w:tc>
          <w:tcPr>
            <w:tcW w:type="dxa" w:w="1728"/>
          </w:tcPr>
          <w:p>
            <w:r>
              <w:rPr>
                <w:rFonts w:ascii="Calibri" w:hAnsi="Calibri"/>
                <w:sz w:val="22"/>
              </w:rPr>
              <w:t>N/A — not a consensus-tracked metric</w:t>
            </w:r>
          </w:p>
        </w:tc>
        <w:tc>
          <w:tcPr>
            <w:tcW w:type="dxa" w:w="1728"/>
          </w:tcPr>
          <w:p>
            <w:r>
              <w:rPr>
                <w:rFonts w:ascii="Calibri" w:hAnsi="Calibri"/>
                <w:sz w:val="22"/>
              </w:rPr>
              <w:t>$3B+ invested in Q1 2026 alone; $7B+ of $10B+ incremental opportunity now in line of sight</w:t>
            </w:r>
          </w:p>
        </w:tc>
      </w:tr>
      <w:tr>
        <w:tc>
          <w:tcPr>
            <w:tcW w:type="dxa" w:w="1728"/>
          </w:tcPr>
          <w:p>
            <w:r>
              <w:rPr>
                <w:rFonts w:ascii="Calibri" w:hAnsi="Calibri"/>
                <w:sz w:val="22"/>
              </w:rPr>
              <w:t>Minnesota Electric Rate Case ROE</w:t>
            </w:r>
          </w:p>
        </w:tc>
        <w:tc>
          <w:tcPr>
            <w:tcW w:type="dxa" w:w="1728"/>
          </w:tcPr>
          <w:p>
            <w:r>
              <w:rPr>
                <w:rFonts w:ascii="Calibri" w:hAnsi="Calibri"/>
                <w:sz w:val="22"/>
              </w:rPr>
              <w:t>ALJ recommended 9.8% ROE (Apr 29, 2026)</w:t>
            </w:r>
          </w:p>
        </w:tc>
        <w:tc>
          <w:tcPr>
            <w:tcW w:type="dxa" w:w="1728"/>
          </w:tcPr>
          <w:p>
            <w:r>
              <w:rPr>
                <w:rFonts w:ascii="Calibri" w:hAnsi="Calibri"/>
                <w:sz w:val="22"/>
              </w:rPr>
              <w:t>MPUC verbal decision: 9.60% ROE, $211M rate increase (effective date TBD pending written order)</w:t>
            </w:r>
          </w:p>
        </w:tc>
        <w:tc>
          <w:tcPr>
            <w:tcW w:type="dxa" w:w="1728"/>
          </w:tcPr>
          <w:p>
            <w:r>
              <w:rPr>
                <w:rFonts w:ascii="Calibri" w:hAnsi="Calibri"/>
                <w:sz w:val="22"/>
              </w:rPr>
              <w:t>N/A</w:t>
            </w:r>
          </w:p>
        </w:tc>
        <w:tc>
          <w:tcPr>
            <w:tcW w:type="dxa" w:w="1728"/>
          </w:tcPr>
          <w:p>
            <w:r>
              <w:rPr>
                <w:rFonts w:ascii="Calibri" w:hAnsi="Calibri"/>
                <w:sz w:val="22"/>
              </w:rPr>
              <w:t>↑ Constructive outcome; MPUC verbal decision issued Jun 18, 2026; final written order expected by Jul 31, 2026; rates effective upon written order; equity ratio maintained at 52.5%</w:t>
            </w:r>
          </w:p>
        </w:tc>
      </w:tr>
      <w:tr>
        <w:tc>
          <w:tcPr>
            <w:tcW w:type="dxa" w:w="1728"/>
          </w:tcPr>
          <w:p>
            <w:r>
              <w:rPr>
                <w:rFonts w:ascii="Calibri" w:hAnsi="Calibri"/>
                <w:sz w:val="22"/>
              </w:rPr>
              <w:t>Colorado Gas Rate Case (PSCo)</w:t>
            </w:r>
          </w:p>
        </w:tc>
        <w:tc>
          <w:tcPr>
            <w:tcW w:type="dxa" w:w="1728"/>
          </w:tcPr>
          <w:p>
            <w:r>
              <w:rPr>
                <w:rFonts w:ascii="Calibri" w:hAnsi="Calibri"/>
                <w:sz w:val="22"/>
              </w:rPr>
              <w:t>PSCo filed Dec 2025: $190M request, 10.75% ROE, 55% equity ratio</w:t>
            </w:r>
          </w:p>
        </w:tc>
        <w:tc>
          <w:tcPr>
            <w:tcW w:type="dxa" w:w="1728"/>
          </w:tcPr>
          <w:p>
            <w:r>
              <w:rPr>
                <w:rFonts w:ascii="Calibri" w:hAnsi="Calibri"/>
                <w:sz w:val="22"/>
              </w:rPr>
              <w:t>Settlement filed Jul 13, 2026: $123M revenue increase, 9.2% ROE, 54.5% equity ratio</w:t>
            </w:r>
          </w:p>
        </w:tc>
        <w:tc>
          <w:tcPr>
            <w:tcW w:type="dxa" w:w="1728"/>
          </w:tcPr>
          <w:p>
            <w:r>
              <w:rPr>
                <w:rFonts w:ascii="Calibri" w:hAnsi="Calibri"/>
                <w:sz w:val="22"/>
              </w:rPr>
              <w:t>N/A</w:t>
            </w:r>
          </w:p>
        </w:tc>
        <w:tc>
          <w:tcPr>
            <w:tcW w:type="dxa" w:w="1728"/>
          </w:tcPr>
          <w:p>
            <w:r>
              <w:rPr>
                <w:rFonts w:ascii="Calibri" w:hAnsi="Calibri"/>
                <w:sz w:val="22"/>
              </w:rPr>
              <w:t>Settlement filed Jul 13, 2026; hearings scheduled Jul 2026; CPUC decision and final rate implementation expected Q4 2026</w:t>
            </w:r>
          </w:p>
        </w:tc>
      </w:tr>
      <w:tr>
        <w:tc>
          <w:tcPr>
            <w:tcW w:type="dxa" w:w="1728"/>
          </w:tcPr>
          <w:p>
            <w:r>
              <w:rPr>
                <w:rFonts w:ascii="Calibri" w:hAnsi="Calibri"/>
                <w:sz w:val="22"/>
              </w:rPr>
              <w:t>SPS New Mexico Electric Rate Case</w:t>
            </w:r>
          </w:p>
        </w:tc>
        <w:tc>
          <w:tcPr>
            <w:tcW w:type="dxa" w:w="1728"/>
          </w:tcPr>
          <w:p>
            <w:r>
              <w:rPr>
                <w:rFonts w:ascii="Calibri" w:hAnsi="Calibri"/>
                <w:sz w:val="22"/>
              </w:rPr>
              <w:t>SPS filed Nov 2025 (updated Mar 2026): $168M request, 10.5% ROE, 56% equity ratio</w:t>
            </w:r>
          </w:p>
        </w:tc>
        <w:tc>
          <w:tcPr>
            <w:tcW w:type="dxa" w:w="1728"/>
          </w:tcPr>
          <w:p>
            <w:r>
              <w:rPr>
                <w:rFonts w:ascii="Calibri" w:hAnsi="Calibri"/>
                <w:sz w:val="22"/>
              </w:rPr>
              <w:t>Stipulation filed Jun 22, 2026: $90M revenue increase, 9.5% ROE, 54.7% equity ratio</w:t>
            </w:r>
          </w:p>
        </w:tc>
        <w:tc>
          <w:tcPr>
            <w:tcW w:type="dxa" w:w="1728"/>
          </w:tcPr>
          <w:p>
            <w:r>
              <w:rPr>
                <w:rFonts w:ascii="Calibri" w:hAnsi="Calibri"/>
                <w:sz w:val="22"/>
              </w:rPr>
              <w:t>N/A</w:t>
            </w:r>
          </w:p>
        </w:tc>
        <w:tc>
          <w:tcPr>
            <w:tcW w:type="dxa" w:w="1728"/>
          </w:tcPr>
          <w:p>
            <w:r>
              <w:rPr>
                <w:rFonts w:ascii="Calibri" w:hAnsi="Calibri"/>
                <w:sz w:val="22"/>
              </w:rPr>
              <w:t>Non-unanimous stipulation filed Jun 22, 2026; NMPRC Staff opposes certain components; hearing scheduled Jul 2026; NMPRC decision expected Q4 2026; new rates expected Dec 2026</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Estimates have been broadly stable since the Q1 print — FY 2026 EPS consensus has barely moved (+0.05% since the post-Q1 baseline), confirming the market is tracking guidance rather than diverging from it; the absence of downward revision despite weather headwinds is itself a mild positive signal.</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(as of May 7, 2026)</w:t>
            </w:r>
          </w:p>
        </w:tc>
        <w:tc>
          <w:tcPr>
            <w:tcW w:type="dxa" w:w="1080"/>
            <w:shd w:val="clear" w:color="auto" w:fill="3B4259"/>
          </w:tcPr>
          <w:p>
            <w:r>
              <w:rPr>
                <w:rFonts w:ascii="Calibri" w:hAnsi="Calibri"/>
                <w:b/>
                <w:color w:val="FFFFFF"/>
                <w:sz w:val="22"/>
              </w:rPr>
              <w:t>Current Consensus (as of Jul 29,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2026 Earnings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Midpoint</w:t>
            </w:r>
          </w:p>
        </w:tc>
      </w:tr>
      <w:tr>
        <w:tc>
          <w:tcPr>
            <w:tcW w:type="dxa" w:w="1080"/>
          </w:tcPr>
          <w:p>
            <w:r>
              <w:rPr>
                <w:rFonts w:ascii="Calibri" w:hAnsi="Calibri"/>
                <w:sz w:val="22"/>
              </w:rPr>
              <w:t>Operating EPS — Q2 2026</w:t>
            </w:r>
          </w:p>
        </w:tc>
        <w:tc>
          <w:tcPr>
            <w:tcW w:type="dxa" w:w="1080"/>
          </w:tcPr>
          <w:p>
            <w:r>
              <w:rPr>
                <w:rFonts w:ascii="Calibri" w:hAnsi="Calibri"/>
                <w:sz w:val="22"/>
              </w:rPr>
              <w:t>$0.815</w:t>
            </w:r>
          </w:p>
        </w:tc>
        <w:tc>
          <w:tcPr>
            <w:tcW w:type="dxa" w:w="1080"/>
          </w:tcPr>
          <w:p>
            <w:r>
              <w:rPr>
                <w:rFonts w:ascii="Calibri" w:hAnsi="Calibri"/>
                <w:sz w:val="22"/>
              </w:rPr>
              <w:t>$0.797</w:t>
            </w:r>
          </w:p>
        </w:tc>
        <w:tc>
          <w:tcPr>
            <w:tcW w:type="dxa" w:w="1080"/>
          </w:tcPr>
          <w:p>
            <w:r>
              <w:rPr>
                <w:rFonts w:ascii="Calibri" w:hAnsi="Calibri"/>
                <w:sz w:val="22"/>
              </w:rPr>
              <w:t>−2.2%</w:t>
            </w:r>
          </w:p>
        </w:tc>
        <w:tc>
          <w:tcPr>
            <w:tcW w:type="dxa" w:w="1080"/>
          </w:tcPr>
          <w:p>
            <w:r>
              <w:rPr>
                <w:rFonts w:ascii="Calibri" w:hAnsi="Calibri"/>
                <w:sz w:val="22"/>
              </w:rPr>
              <w:t>No quarterly guidance provided</w:t>
            </w:r>
          </w:p>
        </w:tc>
        <w:tc>
          <w:tcPr>
            <w:tcW w:type="dxa" w:w="1080"/>
          </w:tcPr>
          <w:p>
            <w:r>
              <w:rPr>
                <w:rFonts w:ascii="Calibri" w:hAnsi="Calibri"/>
                <w:sz w:val="22"/>
              </w:rPr>
              <w:t>No quarterly guidance provided</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Operating EPS — FY 2026</w:t>
            </w:r>
          </w:p>
        </w:tc>
        <w:tc>
          <w:tcPr>
            <w:tcW w:type="dxa" w:w="1080"/>
          </w:tcPr>
          <w:p>
            <w:r>
              <w:rPr>
                <w:rFonts w:ascii="Calibri" w:hAnsi="Calibri"/>
                <w:sz w:val="22"/>
              </w:rPr>
              <w:t>$4.118</w:t>
            </w:r>
          </w:p>
        </w:tc>
        <w:tc>
          <w:tcPr>
            <w:tcW w:type="dxa" w:w="1080"/>
          </w:tcPr>
          <w:p>
            <w:r>
              <w:rPr>
                <w:rFonts w:ascii="Calibri" w:hAnsi="Calibri"/>
                <w:sz w:val="22"/>
              </w:rPr>
              <w:t>$4.120</w:t>
            </w:r>
          </w:p>
        </w:tc>
        <w:tc>
          <w:tcPr>
            <w:tcW w:type="dxa" w:w="1080"/>
          </w:tcPr>
          <w:p>
            <w:r>
              <w:rPr>
                <w:rFonts w:ascii="Calibri" w:hAnsi="Calibri"/>
                <w:sz w:val="22"/>
              </w:rPr>
              <w:t>+0.05%</w:t>
            </w:r>
          </w:p>
        </w:tc>
        <w:tc>
          <w:tcPr>
            <w:tcW w:type="dxa" w:w="1080"/>
          </w:tcPr>
          <w:p>
            <w:r>
              <w:rPr>
                <w:rFonts w:ascii="Calibri" w:hAnsi="Calibri"/>
                <w:sz w:val="22"/>
              </w:rPr>
              <w:t>$4.04–$4.16 ($4.10 mid)</w:t>
            </w:r>
          </w:p>
        </w:tc>
        <w:tc>
          <w:tcPr>
            <w:tcW w:type="dxa" w:w="1080"/>
          </w:tcPr>
          <w:p>
            <w:r>
              <w:rPr>
                <w:rFonts w:ascii="Calibri" w:hAnsi="Calibri"/>
                <w:sz w:val="22"/>
              </w:rPr>
              <w:t>$4.04–$4.16 (unchanged)</w:t>
            </w:r>
          </w:p>
        </w:tc>
        <w:tc>
          <w:tcPr>
            <w:tcW w:type="dxa" w:w="1080"/>
          </w:tcPr>
          <w:p>
            <w:r>
              <w:rPr>
                <w:rFonts w:ascii="Calibri" w:hAnsi="Calibri"/>
                <w:sz w:val="22"/>
              </w:rPr>
              <w:t>0%</w:t>
            </w:r>
          </w:p>
        </w:tc>
        <w:tc>
          <w:tcPr>
            <w:tcW w:type="dxa" w:w="1080"/>
          </w:tcPr>
          <w:p>
            <w:r>
              <w:rPr>
                <w:rFonts w:ascii="Calibri" w:hAnsi="Calibri"/>
                <w:sz w:val="22"/>
              </w:rPr>
              <w:t>+$0.02 / +0.5% above midpoint</w:t>
            </w:r>
          </w:p>
        </w:tc>
      </w:tr>
      <w:tr>
        <w:tc>
          <w:tcPr>
            <w:tcW w:type="dxa" w:w="1080"/>
          </w:tcPr>
          <w:p>
            <w:r>
              <w:rPr>
                <w:rFonts w:ascii="Calibri" w:hAnsi="Calibri"/>
                <w:sz w:val="22"/>
              </w:rPr>
              <w:t>Total Operating Revenues — Q2 2026</w:t>
            </w:r>
          </w:p>
        </w:tc>
        <w:tc>
          <w:tcPr>
            <w:tcW w:type="dxa" w:w="1080"/>
          </w:tcPr>
          <w:p>
            <w:r>
              <w:rPr>
                <w:rFonts w:ascii="Calibri" w:hAnsi="Calibri"/>
                <w:sz w:val="22"/>
              </w:rPr>
              <w:t>$3.380B</w:t>
            </w:r>
          </w:p>
        </w:tc>
        <w:tc>
          <w:tcPr>
            <w:tcW w:type="dxa" w:w="1080"/>
          </w:tcPr>
          <w:p>
            <w:r>
              <w:rPr>
                <w:rFonts w:ascii="Calibri" w:hAnsi="Calibri"/>
                <w:sz w:val="22"/>
              </w:rPr>
              <w:t>$3.531B</w:t>
            </w:r>
          </w:p>
        </w:tc>
        <w:tc>
          <w:tcPr>
            <w:tcW w:type="dxa" w:w="1080"/>
          </w:tcPr>
          <w:p>
            <w:r>
              <w:rPr>
                <w:rFonts w:ascii="Calibri" w:hAnsi="Calibri"/>
                <w:sz w:val="22"/>
              </w:rPr>
              <w:t>+4.5%</w:t>
            </w:r>
          </w:p>
        </w:tc>
        <w:tc>
          <w:tcPr>
            <w:tcW w:type="dxa" w:w="1080"/>
          </w:tcPr>
          <w:p>
            <w:r>
              <w:rPr>
                <w:rFonts w:ascii="Calibri" w:hAnsi="Calibri"/>
                <w:sz w:val="22"/>
              </w:rPr>
              <w:t>No quarterly guidance provided</w:t>
            </w:r>
          </w:p>
        </w:tc>
        <w:tc>
          <w:tcPr>
            <w:tcW w:type="dxa" w:w="1080"/>
          </w:tcPr>
          <w:p>
            <w:r>
              <w:rPr>
                <w:rFonts w:ascii="Calibri" w:hAnsi="Calibri"/>
                <w:sz w:val="22"/>
              </w:rPr>
              <w:t>No quarterly guidance provided</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Operating Revenues — FY 2026</w:t>
            </w:r>
          </w:p>
        </w:tc>
        <w:tc>
          <w:tcPr>
            <w:tcW w:type="dxa" w:w="1080"/>
          </w:tcPr>
          <w:p>
            <w:r>
              <w:rPr>
                <w:rFonts w:ascii="Calibri" w:hAnsi="Calibri"/>
                <w:sz w:val="22"/>
              </w:rPr>
              <w:t>$15.730B</w:t>
            </w:r>
          </w:p>
        </w:tc>
        <w:tc>
          <w:tcPr>
            <w:tcW w:type="dxa" w:w="1080"/>
          </w:tcPr>
          <w:p>
            <w:r>
              <w:rPr>
                <w:rFonts w:ascii="Calibri" w:hAnsi="Calibri"/>
                <w:sz w:val="22"/>
              </w:rPr>
              <w:t>$15.755B</w:t>
            </w:r>
          </w:p>
        </w:tc>
        <w:tc>
          <w:tcPr>
            <w:tcW w:type="dxa" w:w="1080"/>
          </w:tcPr>
          <w:p>
            <w:r>
              <w:rPr>
                <w:rFonts w:ascii="Calibri" w:hAnsi="Calibri"/>
                <w:sz w:val="22"/>
              </w:rPr>
              <w:t>+0.2%</w:t>
            </w:r>
          </w:p>
        </w:tc>
        <w:tc>
          <w:tcPr>
            <w:tcW w:type="dxa" w:w="1080"/>
          </w:tcPr>
          <w:p>
            <w:r>
              <w:rPr>
                <w:rFonts w:ascii="Calibri" w:hAnsi="Calibri"/>
                <w:sz w:val="22"/>
              </w:rPr>
              <w:t>No annual revenue guidance provided</w:t>
            </w:r>
          </w:p>
        </w:tc>
        <w:tc>
          <w:tcPr>
            <w:tcW w:type="dxa" w:w="1080"/>
          </w:tcPr>
          <w:p>
            <w:r>
              <w:rPr>
                <w:rFonts w:ascii="Calibri" w:hAnsi="Calibri"/>
                <w:sz w:val="22"/>
              </w:rPr>
              <w:t>No annual revenue guidance provided</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Electric Sales — Q2 2026 (GWh)</w:t>
            </w:r>
          </w:p>
        </w:tc>
        <w:tc>
          <w:tcPr>
            <w:tcW w:type="dxa" w:w="1080"/>
          </w:tcPr>
          <w:p>
            <w:r>
              <w:rPr>
                <w:rFonts w:ascii="Calibri" w:hAnsi="Calibri"/>
                <w:sz w:val="22"/>
              </w:rPr>
              <w:t>N/A — not available in VA as of May 7, 2026</w:t>
            </w:r>
          </w:p>
        </w:tc>
        <w:tc>
          <w:tcPr>
            <w:tcW w:type="dxa" w:w="1080"/>
          </w:tcPr>
          <w:p>
            <w:r>
              <w:rPr>
                <w:rFonts w:ascii="Calibri" w:hAnsi="Calibri"/>
                <w:sz w:val="22"/>
              </w:rPr>
              <w:t>27,218 GWh</w:t>
            </w:r>
          </w:p>
        </w:tc>
        <w:tc>
          <w:tcPr>
            <w:tcW w:type="dxa" w:w="1080"/>
          </w:tcPr>
          <w:p>
            <w:r>
              <w:rPr>
                <w:rFonts w:ascii="Calibri" w:hAnsi="Calibri"/>
                <w:sz w:val="22"/>
              </w:rPr>
              <w:t>N/A</w:t>
            </w:r>
          </w:p>
        </w:tc>
        <w:tc>
          <w:tcPr>
            <w:tcW w:type="dxa" w:w="1080"/>
          </w:tcPr>
          <w:p>
            <w:r>
              <w:rPr>
                <w:rFonts w:ascii="Calibri" w:hAnsi="Calibri"/>
                <w:sz w:val="22"/>
              </w:rPr>
              <w:t>Weather-adj. +3% FY growth</w:t>
            </w:r>
          </w:p>
        </w:tc>
        <w:tc>
          <w:tcPr>
            <w:tcW w:type="dxa" w:w="1080"/>
          </w:tcPr>
          <w:p>
            <w:r>
              <w:rPr>
                <w:rFonts w:ascii="Calibri" w:hAnsi="Calibri"/>
                <w:sz w:val="22"/>
              </w:rPr>
              <w:t>Unchanged</w:t>
            </w:r>
          </w:p>
        </w:tc>
        <w:tc>
          <w:tcPr>
            <w:tcW w:type="dxa" w:w="1080"/>
          </w:tcPr>
          <w:p>
            <w:r>
              <w:rPr>
                <w:rFonts w:ascii="Calibri" w:hAnsi="Calibri"/>
                <w:sz w:val="22"/>
              </w:rPr>
              <w:t>0%</w:t>
            </w:r>
          </w:p>
        </w:tc>
        <w:tc>
          <w:tcPr>
            <w:tcW w:type="dxa" w:w="1080"/>
          </w:tcPr>
          <w:p>
            <w:r>
              <w:rPr>
                <w:rFonts w:ascii="Calibri" w:hAnsi="Calibri"/>
                <w:sz w:val="22"/>
              </w:rPr>
              <w:t>Q2 cons. +1.9% vs. Q2 2025 actual; full-year trajectory requires H2 acceleration</w:t>
            </w:r>
          </w:p>
        </w:tc>
      </w:tr>
    </w:tbl>
    <w:p>
      <w:r>
        <w:rPr>
          <w:rFonts w:ascii="Calibri" w:hAnsi="Calibri"/>
          <w:b/>
          <w:color w:val="525866"/>
          <w:sz w:val="22"/>
        </w:rPr>
        <w:t xml:space="preserve">Source: </w:t>
      </w:r>
      <w:r>
        <w:rPr>
          <w:rFonts w:ascii="Calibri" w:hAnsi="Calibri"/>
          <w:color w:val="525866"/>
          <w:sz w:val="22"/>
        </w:rPr>
        <w:t>All estimates from Visible Alpha Consensus and Actuals Data. Post-Q1 baseline uses as-of date May 7, 2026 (approximately 5 trading days after the April 30, 2026 earnings call). Q2 2026 EPS estimate declined modestly (−2.2%) since the post-print baseline, likely reflecting weather normalization assumptions; FY 2026 EPS is essentially flat, confirming estimates are tracking guidance. Revenue estimates have moved slightly higher, consistent with rate case outcomes flowing through.</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XEL has broadly tracked XLU since the Q1 earnings date, with modest underperformance vs. the utility sector ETF; the 12-month +10.7% gain has been driven primarily by multiple expansion (+4.3% on EV/EBITDA) and earnings growth rather than sentiment alone, suggesting the move is durable.</w:t>
      </w:r>
    </w:p>
    <w:p>
      <w:r>
        <w:rPr>
          <w:rFonts w:ascii="Calibri" w:hAnsi="Calibri"/>
          <w:b/>
          <w:color w:val="525866"/>
          <w:sz w:val="22"/>
        </w:rPr>
        <w:t xml:space="preserve">Sector ETF: </w:t>
      </w:r>
      <w:r>
        <w:rPr>
          <w:rFonts w:ascii="Calibri" w:hAnsi="Calibri"/>
          <w:color w:val="525866"/>
          <w:sz w:val="22"/>
        </w:rPr>
        <w:t>XLU (SPDR Utilities Select Sector ETF) — appropriate benchmark for XEL as a regulated electric and gas utility operating across eight states.</w:t>
      </w:r>
    </w:p>
    <w:p>
      <w:r>
        <w:rPr>
          <w:rFonts w:ascii="Calibri" w:hAnsi="Calibri"/>
          <w:b/>
          <w:color w:val="525866"/>
          <w:sz w:val="22"/>
        </w:rPr>
        <w:t>Performance since Q1 2026 earnings (April 30, 2026 — July 29, 2026):</w:t>
      </w:r>
    </w:p>
    <w:p>
      <w:pPr>
        <w:pStyle w:val="ListBullet"/>
        <w:ind w:left="360" w:hanging="360"/>
      </w:pPr>
      <w:r>
        <w:rPr>
          <w:rFonts w:ascii="Calibri" w:hAnsi="Calibri"/>
          <w:b/>
          <w:color w:val="525866"/>
          <w:sz w:val="22"/>
        </w:rPr>
        <w:t xml:space="preserve">XEL: </w:t>
      </w:r>
      <w:r>
        <w:rPr>
          <w:rFonts w:ascii="Calibri" w:hAnsi="Calibri"/>
          <w:color w:val="525866"/>
          <w:sz w:val="22"/>
        </w:rPr>
        <w:t>$82.95 → $78.77 (July 29 close) — approximately −5.0% since earnings date. Note: XEL closed at $82.95 on April 30 (earnings day) and has drifted lower, with a notable dip to $76.41 on June 1 before recovering to $82.23 on June 26 and then pulling back again.</w:t>
      </w:r>
    </w:p>
    <w:p>
      <w:pPr>
        <w:pStyle w:val="ListBullet"/>
        <w:ind w:left="360" w:hanging="360"/>
      </w:pPr>
      <w:r>
        <w:rPr>
          <w:rFonts w:ascii="Calibri" w:hAnsi="Calibri"/>
          <w:b/>
          <w:color w:val="525866"/>
          <w:sz w:val="22"/>
        </w:rPr>
        <w:t xml:space="preserve">XLU: </w:t>
      </w:r>
      <w:r>
        <w:rPr>
          <w:rFonts w:ascii="Calibri" w:hAnsi="Calibri"/>
          <w:color w:val="525866"/>
          <w:sz w:val="22"/>
        </w:rPr>
        <w:t>$46.85 → $45.17 (July 29 close) — approximately −3.6% since earnings date.</w:t>
      </w:r>
    </w:p>
    <w:p>
      <w:pPr>
        <w:pStyle w:val="ListBullet"/>
        <w:ind w:left="360" w:hanging="360"/>
      </w:pPr>
      <w:r>
        <w:rPr>
          <w:rFonts w:ascii="Calibri" w:hAnsi="Calibri"/>
          <w:b/>
          <w:color w:val="525866"/>
          <w:sz w:val="22"/>
        </w:rPr>
        <w:t xml:space="preserve">SPY (S&amp;P 500): </w:t>
      </w:r>
      <w:r>
        <w:rPr>
          <w:rFonts w:ascii="Calibri" w:hAnsi="Calibri"/>
          <w:color w:val="525866"/>
          <w:sz w:val="22"/>
        </w:rPr>
        <w:t>$718.66 → $743.29 (July 29 close) — approximately +3.4% since earnings date.</w:t>
      </w:r>
    </w:p>
    <w:p>
      <w:pPr>
        <w:pStyle w:val="ListBullet"/>
        <w:ind w:left="360" w:hanging="360"/>
      </w:pPr>
      <w:r>
        <w:rPr>
          <w:rFonts w:ascii="Calibri" w:hAnsi="Calibri"/>
          <w:b/>
          <w:color w:val="525866"/>
          <w:sz w:val="22"/>
        </w:rPr>
        <w:t xml:space="preserve">Relative performance: </w:t>
      </w:r>
      <w:r>
        <w:rPr>
          <w:rFonts w:ascii="Calibri" w:hAnsi="Calibri"/>
          <w:color w:val="525866"/>
          <w:sz w:val="22"/>
        </w:rPr>
        <w:t>XEL has underperformed XLU by ~1.4 percentage points and underperformed the S&amp;P 500 by ~8.4 percentage points since the Q1 earnings date, consistent with the broader utility sector lagging equities in a risk-on environment.</w:t>
      </w:r>
    </w:p>
    <w:p>
      <w:r>
        <w:rPr>
          <w:rFonts w:ascii="Calibri" w:hAnsi="Calibri"/>
          <w:b/>
          <w:color w:val="525866"/>
          <w:sz w:val="22"/>
        </w:rPr>
        <w:t>Key Events Since Q1 Earnings (April 30, 2026):</w:t>
      </w:r>
    </w:p>
    <w:p>
      <w:pPr>
        <w:pStyle w:val="ListBullet"/>
        <w:ind w:left="360" w:hanging="360"/>
      </w:pPr>
      <w:r>
        <w:rPr>
          <w:rFonts w:ascii="Calibri" w:hAnsi="Calibri"/>
          <w:b/>
          <w:color w:val="525866"/>
          <w:sz w:val="22"/>
        </w:rPr>
        <w:t xml:space="preserve">May 1, 2026: </w:t>
      </w:r>
      <w:r>
        <w:rPr>
          <w:rFonts w:ascii="Calibri" w:hAnsi="Calibri"/>
          <w:color w:val="525866"/>
          <w:sz w:val="22"/>
        </w:rPr>
        <w:t>XEL established a $4.3B at-the-market (ATM) equity program (8-K filed). Modest near-term dilution overhang.</w:t>
      </w:r>
    </w:p>
    <w:p>
      <w:pPr>
        <w:pStyle w:val="ListBullet"/>
        <w:ind w:left="360" w:hanging="360"/>
      </w:pPr>
      <w:r>
        <w:rPr>
          <w:rFonts w:ascii="Calibri" w:hAnsi="Calibri"/>
          <w:b/>
          <w:color w:val="525866"/>
          <w:sz w:val="22"/>
        </w:rPr>
        <w:t xml:space="preserve">May 5, 2026: </w:t>
      </w:r>
      <w:r>
        <w:rPr>
          <w:rFonts w:ascii="Calibri" w:hAnsi="Calibri"/>
          <w:color w:val="525866"/>
          <w:sz w:val="22"/>
        </w:rPr>
        <w:t>New Mexico intervenors proposed steep cuts to SPS rate hike request (8-K filed). Modest negative regulatory signal.</w:t>
      </w:r>
    </w:p>
    <w:p>
      <w:pPr>
        <w:pStyle w:val="ListBullet"/>
        <w:ind w:left="360" w:hanging="360"/>
      </w:pPr>
      <w:r>
        <w:rPr>
          <w:rFonts w:ascii="Calibri" w:hAnsi="Calibri"/>
          <w:b/>
          <w:color w:val="525866"/>
          <w:sz w:val="22"/>
        </w:rPr>
        <w:t xml:space="preserve">May 11, 2026: </w:t>
      </w:r>
      <w:r>
        <w:rPr>
          <w:rFonts w:ascii="Calibri" w:hAnsi="Calibri"/>
          <w:color w:val="525866"/>
          <w:sz w:val="22"/>
        </w:rPr>
        <w:t>NSP-Minnesota reached $38M gas rate case settlement (8-K filed). Constructive.</w:t>
      </w:r>
    </w:p>
    <w:p>
      <w:pPr>
        <w:pStyle w:val="ListBullet"/>
        <w:ind w:left="360" w:hanging="360"/>
      </w:pPr>
      <w:r>
        <w:rPr>
          <w:rFonts w:ascii="Calibri" w:hAnsi="Calibri"/>
          <w:b/>
          <w:color w:val="525866"/>
          <w:sz w:val="22"/>
        </w:rPr>
        <w:t xml:space="preserve">June 1–3, 2026: </w:t>
      </w:r>
      <w:r>
        <w:rPr>
          <w:rFonts w:ascii="Calibri" w:hAnsi="Calibri"/>
          <w:color w:val="525866"/>
          <w:sz w:val="22"/>
        </w:rPr>
        <w:t>Stock dipped to ~$76–$77 range; CEO Frenzel appeared on CNBC (June 3) discussing $60B grid modernization commitment and Google data center deal structure.</w:t>
      </w:r>
    </w:p>
    <w:p>
      <w:pPr>
        <w:pStyle w:val="ListBullet"/>
        <w:ind w:left="360" w:hanging="360"/>
      </w:pPr>
      <w:r>
        <w:rPr>
          <w:rFonts w:ascii="Calibri" w:hAnsi="Calibri"/>
          <w:b/>
          <w:color w:val="525866"/>
          <w:sz w:val="22"/>
        </w:rPr>
        <w:t xml:space="preserve">June 18, 2026 (action date): </w:t>
      </w:r>
      <w:r>
        <w:rPr>
          <w:rFonts w:ascii="Calibri" w:hAnsi="Calibri"/>
          <w:color w:val="525866"/>
          <w:sz w:val="22"/>
        </w:rPr>
        <w:t>MPUC issued verbal decision on Minnesota electric rate case — 9.60% ROE, $211M rate increase over two years. Disclosed via 8-K filed June 22, 2026. Stock rallied from ~$77 to ~$82 over the following week.</w:t>
      </w:r>
    </w:p>
    <w:p>
      <w:pPr>
        <w:pStyle w:val="ListBullet"/>
        <w:ind w:left="360" w:hanging="360"/>
      </w:pPr>
      <w:r>
        <w:rPr>
          <w:rFonts w:ascii="Calibri" w:hAnsi="Calibri"/>
          <w:b/>
          <w:color w:val="525866"/>
          <w:sz w:val="22"/>
        </w:rPr>
        <w:t xml:space="preserve">June 22, 2026: </w:t>
      </w:r>
      <w:r>
        <w:rPr>
          <w:rFonts w:ascii="Calibri" w:hAnsi="Calibri"/>
          <w:color w:val="525866"/>
          <w:sz w:val="22"/>
        </w:rPr>
        <w:t>SPS New Mexico electric rate case non-unanimous stipulation filed ($90M, 9.5% ROE). XEL reaffirmed 2026 EPS guidance.</w:t>
      </w:r>
    </w:p>
    <w:p>
      <w:pPr>
        <w:pStyle w:val="ListBullet"/>
        <w:ind w:left="360" w:hanging="360"/>
      </w:pPr>
      <w:r>
        <w:rPr>
          <w:rFonts w:ascii="Calibri" w:hAnsi="Calibri"/>
          <w:b/>
          <w:color w:val="525866"/>
          <w:sz w:val="22"/>
        </w:rPr>
        <w:t xml:space="preserve">July 13, 2026: </w:t>
      </w:r>
      <w:r>
        <w:rPr>
          <w:rFonts w:ascii="Calibri" w:hAnsi="Calibri"/>
          <w:color w:val="525866"/>
          <w:sz w:val="22"/>
        </w:rPr>
        <w:t>PSCo Colorado gas rate case settlement filed ($123M, 9.2% ROE). XEL reaffirmed 2026 EPS guidance.</w:t>
      </w:r>
    </w:p>
    <w:p>
      <w:pPr>
        <w:pStyle w:val="ListBullet"/>
        <w:ind w:left="360" w:hanging="360"/>
      </w:pPr>
      <w:r>
        <w:rPr>
          <w:rFonts w:ascii="Calibri" w:hAnsi="Calibri"/>
          <w:b/>
          <w:color w:val="525866"/>
          <w:sz w:val="22"/>
        </w:rPr>
        <w:t xml:space="preserve">July 29, 2026: </w:t>
      </w:r>
      <w:r>
        <w:rPr>
          <w:rFonts w:ascii="Calibri" w:hAnsi="Calibri"/>
          <w:color w:val="525866"/>
          <w:sz w:val="22"/>
        </w:rPr>
        <w:t>XEL appointed Delta Air Lines President Peter Carter to its Board of Directors (8-K filed), expanding director count.</w:t>
      </w:r>
    </w:p>
    <w:p>
      <w:r>
        <w:rPr>
          <w:rFonts w:ascii="Calibri" w:hAnsi="Calibri"/>
          <w:b/>
          <w:color w:val="525866"/>
          <w:sz w:val="22"/>
        </w:rPr>
        <w:t xml:space="preserve">Valuation Context: </w:t>
      </w:r>
      <w:r>
        <w:rPr>
          <w:rFonts w:ascii="Calibri" w:hAnsi="Calibri"/>
          <w:color w:val="525866"/>
          <w:sz w:val="22"/>
        </w:rPr>
        <w:t>XEL currently trades at 18.4x NTM P/E and 11.5x NTM EV/EBITDA (as of July 29, 2026). The 12-month price gain of +10.7% has been supported by ~4.3% EV/EBITDA multiple expansion and underlying earnings growth. The 1-month pullback of −3.9% has been accompanied by modest multiple compression (−2.6% on EV/EBITDA), suggesting the recent weakness is sentiment/sector-driven rather than a fundamental deterioration. Source: Stock Price Data (Yahoo Finance); Valuation multiples from Implied platform stock performance decomposition.</w:t>
      </w:r>
    </w:p>
    <w:p>
      <w:pPr>
        <w:pStyle w:val="Heading3"/>
      </w:pPr>
      <w:r>
        <w:rPr>
          <w:rFonts w:ascii="Calibri" w:hAnsi="Calibri"/>
          <w:b/>
          <w:color w:val="3B4259"/>
          <w:sz w:val="24"/>
        </w:rPr>
        <w:t>Indexed Price Performance — XEL vs. XLU vs. SPY (Since Q1 2026 Earnings: April 30, 2026)</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Date</w:t>
            </w:r>
          </w:p>
        </w:tc>
        <w:tc>
          <w:tcPr>
            <w:tcW w:type="dxa" w:w="2160"/>
            <w:shd w:val="clear" w:color="auto" w:fill="3B4259"/>
          </w:tcPr>
          <w:p>
            <w:r>
              <w:rPr>
                <w:rFonts w:ascii="Calibri" w:hAnsi="Calibri"/>
                <w:b/>
                <w:color w:val="FFFFFF"/>
                <w:sz w:val="22"/>
              </w:rPr>
              <w:t>XEL (Indexed)</w:t>
            </w:r>
          </w:p>
        </w:tc>
        <w:tc>
          <w:tcPr>
            <w:tcW w:type="dxa" w:w="2160"/>
            <w:shd w:val="clear" w:color="auto" w:fill="3B4259"/>
          </w:tcPr>
          <w:p>
            <w:r>
              <w:rPr>
                <w:rFonts w:ascii="Calibri" w:hAnsi="Calibri"/>
                <w:b/>
                <w:color w:val="FFFFFF"/>
                <w:sz w:val="22"/>
              </w:rPr>
              <w:t>XLU (Indexed)</w:t>
            </w:r>
          </w:p>
        </w:tc>
        <w:tc>
          <w:tcPr>
            <w:tcW w:type="dxa" w:w="2160"/>
            <w:shd w:val="clear" w:color="auto" w:fill="3B4259"/>
          </w:tcPr>
          <w:p>
            <w:r>
              <w:rPr>
                <w:rFonts w:ascii="Calibri" w:hAnsi="Calibri"/>
                <w:b/>
                <w:color w:val="FFFFFF"/>
                <w:sz w:val="22"/>
              </w:rPr>
              <w:t>SPY (Indexed)</w:t>
            </w:r>
          </w:p>
        </w:tc>
      </w:tr>
      <w:tr>
        <w:tc>
          <w:tcPr>
            <w:tcW w:type="dxa" w:w="2160"/>
          </w:tcPr>
          <w:p>
            <w:r>
              <w:rPr>
                <w:rFonts w:ascii="Calibri" w:hAnsi="Calibri"/>
                <w:sz w:val="22"/>
              </w:rPr>
              <w:t>Apr 30, 2026 (Base = 100)</w:t>
            </w:r>
          </w:p>
        </w:tc>
        <w:tc>
          <w:tcPr>
            <w:tcW w:type="dxa" w:w="2160"/>
          </w:tcPr>
          <w:p>
            <w:r>
              <w:rPr>
                <w:rFonts w:ascii="Calibri" w:hAnsi="Calibri"/>
                <w:sz w:val="22"/>
              </w:rPr>
              <w:t>100.0</w:t>
            </w:r>
          </w:p>
        </w:tc>
        <w:tc>
          <w:tcPr>
            <w:tcW w:type="dxa" w:w="2160"/>
          </w:tcPr>
          <w:p>
            <w:r>
              <w:rPr>
                <w:rFonts w:ascii="Calibri" w:hAnsi="Calibri"/>
                <w:sz w:val="22"/>
              </w:rPr>
              <w:t>100.0</w:t>
            </w:r>
          </w:p>
        </w:tc>
        <w:tc>
          <w:tcPr>
            <w:tcW w:type="dxa" w:w="2160"/>
          </w:tcPr>
          <w:p>
            <w:r>
              <w:rPr>
                <w:rFonts w:ascii="Calibri" w:hAnsi="Calibri"/>
                <w:sz w:val="22"/>
              </w:rPr>
              <w:t>100.0</w:t>
            </w:r>
          </w:p>
        </w:tc>
      </w:tr>
      <w:tr>
        <w:tc>
          <w:tcPr>
            <w:tcW w:type="dxa" w:w="2160"/>
          </w:tcPr>
          <w:p>
            <w:r>
              <w:rPr>
                <w:rFonts w:ascii="Calibri" w:hAnsi="Calibri"/>
                <w:sz w:val="22"/>
              </w:rPr>
              <w:t>May 8, 2026</w:t>
            </w:r>
          </w:p>
        </w:tc>
        <w:tc>
          <w:tcPr>
            <w:tcW w:type="dxa" w:w="2160"/>
          </w:tcPr>
          <w:p>
            <w:r>
              <w:rPr>
                <w:rFonts w:ascii="Calibri" w:hAnsi="Calibri"/>
                <w:sz w:val="22"/>
              </w:rPr>
              <w:t>95.7</w:t>
            </w:r>
          </w:p>
        </w:tc>
        <w:tc>
          <w:tcPr>
            <w:tcW w:type="dxa" w:w="2160"/>
          </w:tcPr>
          <w:p>
            <w:r>
              <w:rPr>
                <w:rFonts w:ascii="Calibri" w:hAnsi="Calibri"/>
                <w:sz w:val="22"/>
              </w:rPr>
              <w:t>95.5</w:t>
            </w:r>
          </w:p>
        </w:tc>
        <w:tc>
          <w:tcPr>
            <w:tcW w:type="dxa" w:w="2160"/>
          </w:tcPr>
          <w:p>
            <w:r>
              <w:rPr>
                <w:rFonts w:ascii="Calibri" w:hAnsi="Calibri"/>
                <w:sz w:val="22"/>
              </w:rPr>
              <w:t>102.6</w:t>
            </w:r>
          </w:p>
        </w:tc>
      </w:tr>
      <w:tr>
        <w:tc>
          <w:tcPr>
            <w:tcW w:type="dxa" w:w="2160"/>
          </w:tcPr>
          <w:p>
            <w:r>
              <w:rPr>
                <w:rFonts w:ascii="Calibri" w:hAnsi="Calibri"/>
                <w:sz w:val="22"/>
              </w:rPr>
              <w:t>May 22, 2026</w:t>
            </w:r>
          </w:p>
        </w:tc>
        <w:tc>
          <w:tcPr>
            <w:tcW w:type="dxa" w:w="2160"/>
          </w:tcPr>
          <w:p>
            <w:r>
              <w:rPr>
                <w:rFonts w:ascii="Calibri" w:hAnsi="Calibri"/>
                <w:sz w:val="22"/>
              </w:rPr>
              <w:t>97.7</w:t>
            </w:r>
          </w:p>
        </w:tc>
        <w:tc>
          <w:tcPr>
            <w:tcW w:type="dxa" w:w="2160"/>
          </w:tcPr>
          <w:p>
            <w:r>
              <w:rPr>
                <w:rFonts w:ascii="Calibri" w:hAnsi="Calibri"/>
                <w:sz w:val="22"/>
              </w:rPr>
              <w:t>96.8</w:t>
            </w:r>
          </w:p>
        </w:tc>
        <w:tc>
          <w:tcPr>
            <w:tcW w:type="dxa" w:w="2160"/>
          </w:tcPr>
          <w:p>
            <w:r>
              <w:rPr>
                <w:rFonts w:ascii="Calibri" w:hAnsi="Calibri"/>
                <w:sz w:val="22"/>
              </w:rPr>
              <w:t>103.8</w:t>
            </w:r>
          </w:p>
        </w:tc>
      </w:tr>
      <w:tr>
        <w:tc>
          <w:tcPr>
            <w:tcW w:type="dxa" w:w="2160"/>
          </w:tcPr>
          <w:p>
            <w:r>
              <w:rPr>
                <w:rFonts w:ascii="Calibri" w:hAnsi="Calibri"/>
                <w:sz w:val="22"/>
              </w:rPr>
              <w:t>Jun 1, 2026 (XEL trough)</w:t>
            </w:r>
          </w:p>
        </w:tc>
        <w:tc>
          <w:tcPr>
            <w:tcW w:type="dxa" w:w="2160"/>
          </w:tcPr>
          <w:p>
            <w:r>
              <w:rPr>
                <w:rFonts w:ascii="Calibri" w:hAnsi="Calibri"/>
                <w:sz w:val="22"/>
              </w:rPr>
              <w:t>92.1</w:t>
            </w:r>
          </w:p>
        </w:tc>
        <w:tc>
          <w:tcPr>
            <w:tcW w:type="dxa" w:w="2160"/>
          </w:tcPr>
          <w:p>
            <w:r>
              <w:rPr>
                <w:rFonts w:ascii="Calibri" w:hAnsi="Calibri"/>
                <w:sz w:val="22"/>
              </w:rPr>
              <w:t>91.9</w:t>
            </w:r>
          </w:p>
        </w:tc>
        <w:tc>
          <w:tcPr>
            <w:tcW w:type="dxa" w:w="2160"/>
          </w:tcPr>
          <w:p>
            <w:r>
              <w:rPr>
                <w:rFonts w:ascii="Calibri" w:hAnsi="Calibri"/>
                <w:sz w:val="22"/>
              </w:rPr>
              <w:t>105.6</w:t>
            </w:r>
          </w:p>
        </w:tc>
      </w:tr>
      <w:tr>
        <w:tc>
          <w:tcPr>
            <w:tcW w:type="dxa" w:w="2160"/>
          </w:tcPr>
          <w:p>
            <w:r>
              <w:rPr>
                <w:rFonts w:ascii="Calibri" w:hAnsi="Calibri"/>
                <w:sz w:val="22"/>
              </w:rPr>
              <w:t>Jun 22, 2026 (MN rate case 8-K)</w:t>
            </w:r>
          </w:p>
        </w:tc>
        <w:tc>
          <w:tcPr>
            <w:tcW w:type="dxa" w:w="2160"/>
          </w:tcPr>
          <w:p>
            <w:r>
              <w:rPr>
                <w:rFonts w:ascii="Calibri" w:hAnsi="Calibri"/>
                <w:sz w:val="22"/>
              </w:rPr>
              <w:t>95.0</w:t>
            </w:r>
          </w:p>
        </w:tc>
        <w:tc>
          <w:tcPr>
            <w:tcW w:type="dxa" w:w="2160"/>
          </w:tcPr>
          <w:p>
            <w:r>
              <w:rPr>
                <w:rFonts w:ascii="Calibri" w:hAnsi="Calibri"/>
                <w:sz w:val="22"/>
              </w:rPr>
              <w:t>95.4</w:t>
            </w:r>
          </w:p>
        </w:tc>
        <w:tc>
          <w:tcPr>
            <w:tcW w:type="dxa" w:w="2160"/>
          </w:tcPr>
          <w:p>
            <w:r>
              <w:rPr>
                <w:rFonts w:ascii="Calibri" w:hAnsi="Calibri"/>
                <w:sz w:val="22"/>
              </w:rPr>
              <w:t>103.6</w:t>
            </w:r>
          </w:p>
        </w:tc>
      </w:tr>
      <w:tr>
        <w:tc>
          <w:tcPr>
            <w:tcW w:type="dxa" w:w="2160"/>
          </w:tcPr>
          <w:p>
            <w:r>
              <w:rPr>
                <w:rFonts w:ascii="Calibri" w:hAnsi="Calibri"/>
                <w:sz w:val="22"/>
              </w:rPr>
              <w:t>Jun 26, 2026 (XEL peak)</w:t>
            </w:r>
          </w:p>
        </w:tc>
        <w:tc>
          <w:tcPr>
            <w:tcW w:type="dxa" w:w="2160"/>
          </w:tcPr>
          <w:p>
            <w:r>
              <w:rPr>
                <w:rFonts w:ascii="Calibri" w:hAnsi="Calibri"/>
                <w:sz w:val="22"/>
              </w:rPr>
              <w:t>99.1</w:t>
            </w:r>
          </w:p>
        </w:tc>
        <w:tc>
          <w:tcPr>
            <w:tcW w:type="dxa" w:w="2160"/>
          </w:tcPr>
          <w:p>
            <w:r>
              <w:rPr>
                <w:rFonts w:ascii="Calibri" w:hAnsi="Calibri"/>
                <w:sz w:val="22"/>
              </w:rPr>
              <w:t>98.6</w:t>
            </w:r>
          </w:p>
        </w:tc>
        <w:tc>
          <w:tcPr>
            <w:tcW w:type="dxa" w:w="2160"/>
          </w:tcPr>
          <w:p>
            <w:r>
              <w:rPr>
                <w:rFonts w:ascii="Calibri" w:hAnsi="Calibri"/>
                <w:sz w:val="22"/>
              </w:rPr>
              <w:t>101.4</w:t>
            </w:r>
          </w:p>
        </w:tc>
      </w:tr>
      <w:tr>
        <w:tc>
          <w:tcPr>
            <w:tcW w:type="dxa" w:w="2160"/>
          </w:tcPr>
          <w:p>
            <w:r>
              <w:rPr>
                <w:rFonts w:ascii="Calibri" w:hAnsi="Calibri"/>
                <w:sz w:val="22"/>
              </w:rPr>
              <w:t>Jul 13, 2026 (CO gas settlement 8-K)</w:t>
            </w:r>
          </w:p>
        </w:tc>
        <w:tc>
          <w:tcPr>
            <w:tcW w:type="dxa" w:w="2160"/>
          </w:tcPr>
          <w:p>
            <w:r>
              <w:rPr>
                <w:rFonts w:ascii="Calibri" w:hAnsi="Calibri"/>
                <w:sz w:val="22"/>
              </w:rPr>
              <w:t>97.0</w:t>
            </w:r>
          </w:p>
        </w:tc>
        <w:tc>
          <w:tcPr>
            <w:tcW w:type="dxa" w:w="2160"/>
          </w:tcPr>
          <w:p>
            <w:r>
              <w:rPr>
                <w:rFonts w:ascii="Calibri" w:hAnsi="Calibri"/>
                <w:sz w:val="22"/>
              </w:rPr>
              <w:t>97.5</w:t>
            </w:r>
          </w:p>
        </w:tc>
        <w:tc>
          <w:tcPr>
            <w:tcW w:type="dxa" w:w="2160"/>
          </w:tcPr>
          <w:p>
            <w:r>
              <w:rPr>
                <w:rFonts w:ascii="Calibri" w:hAnsi="Calibri"/>
                <w:sz w:val="22"/>
              </w:rPr>
              <w:t>104.2</w:t>
            </w:r>
          </w:p>
        </w:tc>
      </w:tr>
      <w:tr>
        <w:tc>
          <w:tcPr>
            <w:tcW w:type="dxa" w:w="2160"/>
          </w:tcPr>
          <w:p>
            <w:r>
              <w:rPr>
                <w:rFonts w:ascii="Calibri" w:hAnsi="Calibri"/>
                <w:sz w:val="22"/>
              </w:rPr>
              <w:t>Jul 29, 2026</w:t>
            </w:r>
          </w:p>
        </w:tc>
        <w:tc>
          <w:tcPr>
            <w:tcW w:type="dxa" w:w="2160"/>
          </w:tcPr>
          <w:p>
            <w:r>
              <w:rPr>
                <w:rFonts w:ascii="Calibri" w:hAnsi="Calibri"/>
                <w:sz w:val="22"/>
              </w:rPr>
              <w:t>94.9</w:t>
            </w:r>
          </w:p>
        </w:tc>
        <w:tc>
          <w:tcPr>
            <w:tcW w:type="dxa" w:w="2160"/>
          </w:tcPr>
          <w:p>
            <w:r>
              <w:rPr>
                <w:rFonts w:ascii="Calibri" w:hAnsi="Calibri"/>
                <w:sz w:val="22"/>
              </w:rPr>
              <w:t>96.3</w:t>
            </w:r>
          </w:p>
        </w:tc>
        <w:tc>
          <w:tcPr>
            <w:tcW w:type="dxa" w:w="2160"/>
          </w:tcPr>
          <w:p>
            <w:r>
              <w:rPr>
                <w:rFonts w:ascii="Calibri" w:hAnsi="Calibri"/>
                <w:sz w:val="22"/>
              </w:rPr>
              <w:t>103.4</w:t>
            </w:r>
          </w:p>
        </w:tc>
      </w:tr>
    </w:tbl>
    <w:p>
      <w:r>
        <w:rPr>
          <w:rFonts w:ascii="Calibri" w:hAnsi="Calibri"/>
          <w:b/>
          <w:color w:val="525866"/>
          <w:sz w:val="22"/>
        </w:rPr>
        <w:t xml:space="preserve">Note: </w:t>
      </w:r>
      <w:r>
        <w:rPr>
          <w:rFonts w:ascii="Calibri" w:hAnsi="Calibri"/>
          <w:color w:val="525866"/>
          <w:sz w:val="22"/>
        </w:rPr>
        <w:t>Indexed to 100 at April 30, 2026 close (XEL: $82.95, XLU: $46.85, SPY: $718.66). July 29, 2026 values: XEL $78.77, XLU $45.17, SPY $743.29. Source: Stock Price Data (Yahoo Finance).</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The most important development since Q1 earnings is the Minnesota MPUC verbal decision (June 18, 2026) awarding a 9.60% ROE and $211M rate increase — a constructive outcome that de-risks the largest pending rate case and supports the earnings trajectory into 2027.</w:t>
      </w:r>
    </w:p>
    <w:p>
      <w:pPr>
        <w:pStyle w:val="ListBullet"/>
        <w:ind w:left="360" w:hanging="360"/>
      </w:pPr>
      <w:r>
        <w:rPr>
          <w:rFonts w:ascii="Calibri" w:hAnsi="Calibri"/>
          <w:b/>
          <w:color w:val="525866"/>
          <w:sz w:val="22"/>
        </w:rPr>
        <w:t xml:space="preserve">June 18, 2026 (action date) / June 22, 2026 (8-K disclosure): </w:t>
      </w:r>
      <w:r>
        <w:rPr>
          <w:rFonts w:ascii="Calibri" w:hAnsi="Calibri"/>
          <w:color w:val="525866"/>
          <w:sz w:val="22"/>
        </w:rPr>
        <w:t xml:space="preserve">Minnesota MPUC issued verbal decision on NSP-Minnesota 2024 electric rate case. Approved ROE of 9.60% (up from current 9.25%), equity ratio maintained at 52.5%, and estimated rate increase of ~$211M over two years (avg. 2.9%/year). Final written order expected by July 31, 2026. </w:t>
      </w:r>
      <w:r>
        <w:rPr>
          <w:rFonts w:ascii="Calibri" w:hAnsi="Calibri"/>
          <w:i/>
          <w:color w:val="525866"/>
          <w:sz w:val="22"/>
        </w:rPr>
        <w:t xml:space="preserve">Implication: </w:t>
      </w:r>
      <w:r>
        <w:rPr>
          <w:rFonts w:ascii="Calibri" w:hAnsi="Calibri"/>
          <w:color w:val="525866"/>
          <w:sz w:val="22"/>
        </w:rPr>
        <w:t>Constructive outcome removes the largest near-term regulatory overhang; ROE improvement supports earned ROE recovery in XEL’s largest jurisdiction.</w:t>
      </w:r>
    </w:p>
    <w:p>
      <w:pPr>
        <w:pStyle w:val="ListBullet"/>
        <w:ind w:left="360" w:hanging="360"/>
      </w:pPr>
      <w:r>
        <w:rPr>
          <w:rFonts w:ascii="Calibri" w:hAnsi="Calibri"/>
          <w:b/>
          <w:color w:val="525866"/>
          <w:sz w:val="22"/>
        </w:rPr>
        <w:t xml:space="preserve">July 13, 2026 (filing date): </w:t>
      </w:r>
      <w:r>
        <w:rPr>
          <w:rFonts w:ascii="Calibri" w:hAnsi="Calibri"/>
          <w:color w:val="525866"/>
          <w:sz w:val="22"/>
        </w:rPr>
        <w:t xml:space="preserve">PSCo (Colorado) filed non-unanimous gas rate case settlement with CPUC. Terms: $123M revenue increase (7.5% total, 3.7% avg./year since last case), 9.2% ROE, 54.5% equity ratio. Hearings scheduled July 2026; CPUC decision and final rate implementation expected Q4 2026. </w:t>
      </w:r>
      <w:r>
        <w:rPr>
          <w:rFonts w:ascii="Calibri" w:hAnsi="Calibri"/>
          <w:i/>
          <w:color w:val="525866"/>
          <w:sz w:val="22"/>
        </w:rPr>
        <w:t xml:space="preserve">Implication: </w:t>
      </w:r>
      <w:r>
        <w:rPr>
          <w:rFonts w:ascii="Calibri" w:hAnsi="Calibri"/>
          <w:color w:val="525866"/>
          <w:sz w:val="22"/>
        </w:rPr>
        <w:t>Settlement is below the $190M initial request but represents a constructive resolution; lower ROE (9.2% vs. 10.75% requested) is a modest negative but removes uncertainty.</w:t>
      </w:r>
    </w:p>
    <w:p>
      <w:pPr>
        <w:pStyle w:val="ListBullet"/>
        <w:ind w:left="360" w:hanging="360"/>
      </w:pPr>
      <w:r>
        <w:rPr>
          <w:rFonts w:ascii="Calibri" w:hAnsi="Calibri"/>
          <w:b/>
          <w:color w:val="525866"/>
          <w:sz w:val="22"/>
        </w:rPr>
        <w:t xml:space="preserve">June 22, 2026 (filing date): </w:t>
      </w:r>
      <w:r>
        <w:rPr>
          <w:rFonts w:ascii="Calibri" w:hAnsi="Calibri"/>
          <w:color w:val="525866"/>
          <w:sz w:val="22"/>
        </w:rPr>
        <w:t xml:space="preserve">SPS filed non-unanimous stipulation in New Mexico electric rate case. Terms: $90M revenue increase (7.7% total, 2.4% avg./year), 9.5% ROE, 54.7% equity ratio. NMPRC Staff opposes certain components; hearing scheduled July 2026; NMPRC decision expected Q4 2026; new rates expected December 2026. XEL simultaneously reaffirmed 2026 EPS guidance of $4.04–$4.16. </w:t>
      </w:r>
      <w:r>
        <w:rPr>
          <w:rFonts w:ascii="Calibri" w:hAnsi="Calibri"/>
          <w:i/>
          <w:color w:val="525866"/>
          <w:sz w:val="22"/>
        </w:rPr>
        <w:t xml:space="preserve">Implication: </w:t>
      </w:r>
      <w:r>
        <w:rPr>
          <w:rFonts w:ascii="Calibri" w:hAnsi="Calibri"/>
          <w:color w:val="525866"/>
          <w:sz w:val="22"/>
        </w:rPr>
        <w:t>Staff opposition introduces some uncertainty, but the stipulation represents meaningful progress on a key SPS jurisdiction case.</w:t>
      </w:r>
    </w:p>
    <w:p>
      <w:pPr>
        <w:pStyle w:val="ListBullet"/>
        <w:ind w:left="360" w:hanging="360"/>
      </w:pPr>
      <w:r>
        <w:rPr>
          <w:rFonts w:ascii="Calibri" w:hAnsi="Calibri"/>
          <w:b/>
          <w:color w:val="525866"/>
          <w:sz w:val="22"/>
        </w:rPr>
        <w:t xml:space="preserve">May 11, 2026 (filing date): </w:t>
      </w:r>
      <w:r>
        <w:rPr>
          <w:rFonts w:ascii="Calibri" w:hAnsi="Calibri"/>
          <w:color w:val="525866"/>
          <w:sz w:val="22"/>
        </w:rPr>
        <w:t xml:space="preserve">NSP-Minnesota reached $38M gas rate case settlement (8-K filed). </w:t>
      </w:r>
      <w:r>
        <w:rPr>
          <w:rFonts w:ascii="Calibri" w:hAnsi="Calibri"/>
          <w:i/>
          <w:color w:val="525866"/>
          <w:sz w:val="22"/>
        </w:rPr>
        <w:t xml:space="preserve">Implication: </w:t>
      </w:r>
      <w:r>
        <w:rPr>
          <w:rFonts w:ascii="Calibri" w:hAnsi="Calibri"/>
          <w:color w:val="525866"/>
          <w:sz w:val="22"/>
        </w:rPr>
        <w:t>Constructive; removes another regulatory overhang in Minnesota.</w:t>
      </w:r>
    </w:p>
    <w:p>
      <w:pPr>
        <w:pStyle w:val="ListBullet"/>
        <w:ind w:left="360" w:hanging="360"/>
      </w:pPr>
      <w:r>
        <w:rPr>
          <w:rFonts w:ascii="Calibri" w:hAnsi="Calibri"/>
          <w:b/>
          <w:color w:val="525866"/>
          <w:sz w:val="22"/>
        </w:rPr>
        <w:t xml:space="preserve">May 1, 2026 (filing date): </w:t>
      </w:r>
      <w:r>
        <w:rPr>
          <w:rFonts w:ascii="Calibri" w:hAnsi="Calibri"/>
          <w:color w:val="525866"/>
          <w:sz w:val="22"/>
        </w:rPr>
        <w:t xml:space="preserve">XEL established a $4.3B at-the-market (ATM) equity program (8-K filed). </w:t>
      </w:r>
      <w:r>
        <w:rPr>
          <w:rFonts w:ascii="Calibri" w:hAnsi="Calibri"/>
          <w:i/>
          <w:color w:val="525866"/>
          <w:sz w:val="22"/>
        </w:rPr>
        <w:t xml:space="preserve">Implication: </w:t>
      </w:r>
      <w:r>
        <w:rPr>
          <w:rFonts w:ascii="Calibri" w:hAnsi="Calibri"/>
          <w:color w:val="525866"/>
          <w:sz w:val="22"/>
        </w:rPr>
        <w:t>Provides flexible equity funding mechanism for the $14B 2026 capital plan; modest dilution overhang but consistent with the company’s stated ~40% equity funding rule for incremental capex. In Q1 2026, XEL had already issued forward contracts for $1B+ of equity from the ATM and issued an $800M junior subordinated note (50% equity credit), addressing over half of the 5-year $7B equity need.</w:t>
      </w:r>
    </w:p>
    <w:p>
      <w:pPr>
        <w:pStyle w:val="ListBullet"/>
        <w:ind w:left="360" w:hanging="360"/>
      </w:pPr>
      <w:r>
        <w:rPr>
          <w:rFonts w:ascii="Calibri" w:hAnsi="Calibri"/>
          <w:b/>
          <w:color w:val="525866"/>
          <w:sz w:val="22"/>
        </w:rPr>
        <w:t xml:space="preserve">May 5, 2026 (filing date): </w:t>
      </w:r>
      <w:r>
        <w:rPr>
          <w:rFonts w:ascii="Calibri" w:hAnsi="Calibri"/>
          <w:color w:val="525866"/>
          <w:sz w:val="22"/>
        </w:rPr>
        <w:t xml:space="preserve">New Mexico intervenors proposed steep cuts to SPS rate hike request (8-K filed). </w:t>
      </w:r>
      <w:r>
        <w:rPr>
          <w:rFonts w:ascii="Calibri" w:hAnsi="Calibri"/>
          <w:i/>
          <w:color w:val="525866"/>
          <w:sz w:val="22"/>
        </w:rPr>
        <w:t xml:space="preserve">Implication: </w:t>
      </w:r>
      <w:r>
        <w:rPr>
          <w:rFonts w:ascii="Calibri" w:hAnsi="Calibri"/>
          <w:color w:val="525866"/>
          <w:sz w:val="22"/>
        </w:rPr>
        <w:t>Flagged regulatory risk in NM; partially resolved by the June 22 stipulation, though Staff opposition remains.</w:t>
      </w:r>
    </w:p>
    <w:p>
      <w:pPr>
        <w:pStyle w:val="ListBullet"/>
        <w:ind w:left="360" w:hanging="360"/>
      </w:pPr>
      <w:r>
        <w:rPr>
          <w:rFonts w:ascii="Calibri" w:hAnsi="Calibri"/>
          <w:b/>
          <w:color w:val="525866"/>
          <w:sz w:val="22"/>
        </w:rPr>
        <w:t xml:space="preserve">June 3, 2026: </w:t>
      </w:r>
      <w:r>
        <w:rPr>
          <w:rFonts w:ascii="Calibri" w:hAnsi="Calibri"/>
          <w:color w:val="525866"/>
          <w:sz w:val="22"/>
        </w:rPr>
        <w:t xml:space="preserve">CEO Bob Frenzel appeared on CNBC discussing XEL’s $60B grid modernization commitment, the Google data center ESA structure (customer-funded generation, iron-air battery storage), and the company’s strategy to keep customer costs down. </w:t>
      </w:r>
      <w:r>
        <w:rPr>
          <w:rFonts w:ascii="Calibri" w:hAnsi="Calibri"/>
          <w:i/>
          <w:color w:val="525866"/>
          <w:sz w:val="22"/>
        </w:rPr>
        <w:t xml:space="preserve">Implication: </w:t>
      </w:r>
      <w:r>
        <w:rPr>
          <w:rFonts w:ascii="Calibri" w:hAnsi="Calibri"/>
          <w:color w:val="525866"/>
          <w:sz w:val="22"/>
        </w:rPr>
        <w:t>Reinforces management’s confidence in the data-center growth narrative and affordability positioning.</w:t>
      </w:r>
    </w:p>
    <w:p>
      <w:pPr>
        <w:pStyle w:val="ListBullet"/>
        <w:ind w:left="360" w:hanging="360"/>
      </w:pPr>
      <w:r>
        <w:rPr>
          <w:rFonts w:ascii="Calibri" w:hAnsi="Calibri"/>
          <w:b/>
          <w:color w:val="525866"/>
          <w:sz w:val="22"/>
        </w:rPr>
        <w:t xml:space="preserve">July 29, 2026 (filing date): </w:t>
      </w:r>
      <w:r>
        <w:rPr>
          <w:rFonts w:ascii="Calibri" w:hAnsi="Calibri"/>
          <w:color w:val="525866"/>
          <w:sz w:val="22"/>
        </w:rPr>
        <w:t xml:space="preserve">XEL appointed Peter Carter (President, Delta Air Lines) to its Board of Directors, expanding the director count (8-K filed). </w:t>
      </w:r>
      <w:r>
        <w:rPr>
          <w:rFonts w:ascii="Calibri" w:hAnsi="Calibri"/>
          <w:i/>
          <w:color w:val="525866"/>
          <w:sz w:val="22"/>
        </w:rPr>
        <w:t xml:space="preserve">Implication: </w:t>
      </w:r>
      <w:r>
        <w:rPr>
          <w:rFonts w:ascii="Calibri" w:hAnsi="Calibri"/>
          <w:color w:val="525866"/>
          <w:sz w:val="22"/>
        </w:rPr>
        <w:t>Governance enhancement; no direct earnings impact.</w:t>
      </w:r>
    </w:p>
    <w:p>
      <w:pPr>
        <w:pStyle w:val="ListBullet"/>
        <w:ind w:left="360" w:hanging="360"/>
      </w:pPr>
      <w:r>
        <w:rPr>
          <w:rFonts w:ascii="Calibri" w:hAnsi="Calibri"/>
          <w:b/>
          <w:color w:val="525866"/>
          <w:sz w:val="22"/>
        </w:rPr>
        <w:t xml:space="preserve">Ongoing — Colorado Electric Rate Case: </w:t>
      </w:r>
      <w:r>
        <w:rPr>
          <w:rFonts w:ascii="Calibri" w:hAnsi="Calibri"/>
          <w:color w:val="525866"/>
          <w:sz w:val="22"/>
        </w:rPr>
        <w:t xml:space="preserve">Intervenor testimony received April 29, 2026; settlement discussions began in May with a May 28 deadline. No settlement announcement has been filed as of July 29, 2026. </w:t>
      </w:r>
      <w:r>
        <w:rPr>
          <w:rFonts w:ascii="Calibri" w:hAnsi="Calibri"/>
          <w:i/>
          <w:color w:val="525866"/>
          <w:sz w:val="22"/>
        </w:rPr>
        <w:t xml:space="preserve">Implication: </w:t>
      </w:r>
      <w:r>
        <w:rPr>
          <w:rFonts w:ascii="Calibri" w:hAnsi="Calibri"/>
          <w:color w:val="525866"/>
          <w:sz w:val="22"/>
        </w:rPr>
        <w:t>Remains a key pending catalyst; any update on the Q2 call would be closely watched.</w:t>
      </w:r>
    </w:p>
    <w:p>
      <w:pPr>
        <w:pStyle w:val="ListBullet"/>
        <w:ind w:left="360" w:hanging="360"/>
      </w:pPr>
      <w:r>
        <w:rPr>
          <w:rFonts w:ascii="Calibri" w:hAnsi="Calibri"/>
          <w:b/>
          <w:color w:val="525866"/>
          <w:sz w:val="22"/>
        </w:rPr>
        <w:t xml:space="preserve">Ongoing — Smokehouse Creek Wildfire: </w:t>
      </w:r>
      <w:r>
        <w:rPr>
          <w:rFonts w:ascii="Calibri" w:hAnsi="Calibri"/>
          <w:color w:val="525866"/>
          <w:sz w:val="22"/>
        </w:rPr>
        <w:t xml:space="preserve">As of Q1 2026 earnings, 231 of 304 submitted claims resolved; 79 of 107 mediation claims settled; low-end liability estimate updated to $460M with $397M committed in settlements; total insurance coverage $525M (exceeds low-end accrual). </w:t>
      </w:r>
      <w:r>
        <w:rPr>
          <w:rFonts w:ascii="Calibri" w:hAnsi="Calibri"/>
          <w:i/>
          <w:color w:val="525866"/>
          <w:sz w:val="22"/>
        </w:rPr>
        <w:t xml:space="preserve">Implication: </w:t>
      </w:r>
      <w:r>
        <w:rPr>
          <w:rFonts w:ascii="Calibri" w:hAnsi="Calibri"/>
          <w:color w:val="525866"/>
          <w:sz w:val="22"/>
        </w:rPr>
        <w:t>Liability appears well-contained within insurance coverage; any further settlement progress would be a positive.</w:t>
      </w:r>
    </w:p>
    <w:p>
      <w:r>
        <w:br w:type="page"/>
      </w:r>
    </w:p>
    <w:p>
      <w:pPr>
        <w:pStyle w:val="Heading2"/>
      </w:pPr>
      <w:r>
        <w:rPr>
          <w:rFonts w:ascii="Calibri" w:hAnsi="Calibri"/>
          <w:b/>
          <w:color w:val="3B4259"/>
          <w:sz w:val="28"/>
        </w:rPr>
        <w:t>7. Insider Transaction Activity</w:t>
      </w:r>
    </w:p>
    <w:p>
      <w:r>
        <w:rPr>
          <w:rFonts w:ascii="Calibri" w:hAnsi="Calibri"/>
          <w:b/>
          <w:color w:val="525866"/>
          <w:sz w:val="22"/>
        </w:rPr>
        <w:t xml:space="preserve">Key Takeaway: </w:t>
      </w:r>
      <w:r>
        <w:rPr>
          <w:rFonts w:ascii="Calibri" w:hAnsi="Calibri"/>
          <w:color w:val="525866"/>
          <w:sz w:val="22"/>
        </w:rPr>
        <w:t>No open-market insider purchases or sales were identified in the SEC Form 4 database for XEL in the period from April 30, 2026 through July 29, 2026. The absence of insider selling ahead of earnings is a neutral-to-mildly-positive signal, consistent with management’s expressed confidence in the 2026 guidance range.</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Value</w:t>
            </w:r>
          </w:p>
        </w:tc>
        <w:tc>
          <w:tcPr>
            <w:tcW w:type="dxa" w:w="1440"/>
            <w:shd w:val="clear" w:color="auto" w:fill="3B4259"/>
          </w:tcPr>
          <w:p>
            <w:r>
              <w:rPr>
                <w:rFonts w:ascii="Calibri" w:hAnsi="Calibri"/>
                <w:b/>
                <w:color w:val="FFFFFF"/>
                <w:sz w:val="22"/>
              </w:rPr>
              <w:t>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N/A</w:t>
            </w:r>
          </w:p>
        </w:tc>
        <w:tc>
          <w:tcPr>
            <w:tcW w:type="dxa" w:w="1440"/>
          </w:tcPr>
          <w:p>
            <w:r>
              <w:rPr>
                <w:rFonts w:ascii="Calibri" w:hAnsi="Calibri"/>
                <w:sz w:val="22"/>
              </w:rPr>
              <w:t>N/A</w:t>
            </w:r>
          </w:p>
        </w:tc>
        <w:tc>
          <w:tcPr>
            <w:tcW w:type="dxa" w:w="1440"/>
          </w:tcPr>
          <w:p>
            <w:r>
              <w:rPr>
                <w:rFonts w:ascii="Calibri" w:hAnsi="Calibri"/>
                <w:sz w:val="22"/>
              </w:rPr>
              <w:t>N/A</w:t>
            </w:r>
          </w:p>
        </w:tc>
        <w:tc>
          <w:tcPr>
            <w:tcW w:type="dxa" w:w="1440"/>
          </w:tcPr>
          <w:p>
            <w:r>
              <w:rPr>
                <w:rFonts w:ascii="Calibri" w:hAnsi="Calibri"/>
                <w:sz w:val="22"/>
              </w:rPr>
              <w:t>N/A</w:t>
            </w:r>
          </w:p>
        </w:tc>
        <w:tc>
          <w:tcPr>
            <w:tcW w:type="dxa" w:w="1440"/>
          </w:tcPr>
          <w:p>
            <w:r>
              <w:rPr>
                <w:rFonts w:ascii="Calibri" w:hAnsi="Calibri"/>
                <w:sz w:val="22"/>
              </w:rPr>
              <w:t>N/A</w:t>
            </w:r>
          </w:p>
        </w:tc>
        <w:tc>
          <w:tcPr>
            <w:tcW w:type="dxa" w:w="1440"/>
          </w:tcPr>
          <w:p>
            <w:r>
              <w:rPr>
                <w:rFonts w:ascii="Calibri" w:hAnsi="Calibri"/>
                <w:sz w:val="22"/>
              </w:rPr>
              <w:t>No open-market buys or sells (Form 4 codes P/S) identified for XEL in the Apr 30 – Jul 29, 2026 window. Source: SEC Form 4 Filings Database.</w:t>
            </w:r>
          </w:p>
        </w:tc>
      </w:tr>
    </w:tbl>
    <w:p>
      <w:r>
        <w:rPr>
          <w:rFonts w:ascii="Calibri" w:hAnsi="Calibri"/>
          <w:b/>
          <w:color w:val="525866"/>
          <w:sz w:val="22"/>
        </w:rPr>
        <w:t xml:space="preserve">Note: </w:t>
      </w:r>
      <w:r>
        <w:rPr>
          <w:rFonts w:ascii="Calibri" w:hAnsi="Calibri"/>
          <w:color w:val="525866"/>
          <w:sz w:val="22"/>
        </w:rPr>
        <w:t>Only open-market transactions (Form 4 codes P = Purchase, S = Sale) and 10b5-1 plan initiations are included. Equity grants, option exercises, and tax-withholding dispositions are excluded. The query covered the period from April 30, 2026 through July 29, 2026. Source: SEC Form 4 Filings Database.</w:t>
      </w:r>
    </w:p>
    <w:p>
      <w:r>
        <w:br w:type="page"/>
      </w:r>
    </w:p>
    <w:p>
      <w:pPr>
        <w:pStyle w:val="Heading2"/>
      </w:pPr>
      <w:r>
        <w:rPr>
          <w:rFonts w:ascii="Calibri" w:hAnsi="Calibri"/>
          <w:b/>
          <w:color w:val="3B4259"/>
          <w:sz w:val="28"/>
        </w:rPr>
        <w:t>8. Peer Commentary — Q2 2026 Read-Through</w:t>
      </w:r>
    </w:p>
    <w:p>
      <w:r>
        <w:rPr>
          <w:rFonts w:ascii="Calibri" w:hAnsi="Calibri"/>
          <w:b/>
          <w:color w:val="525866"/>
          <w:sz w:val="22"/>
        </w:rPr>
        <w:t xml:space="preserve">Key Takeaway: </w:t>
      </w:r>
      <w:r>
        <w:rPr>
          <w:rFonts w:ascii="Calibri" w:hAnsi="Calibri"/>
          <w:color w:val="525866"/>
          <w:sz w:val="22"/>
        </w:rPr>
        <w:t>Peers reporting Q2 2026 results (CMS Energy July 28, DTE Energy July 28, Entergy July 29) collectively reinforce three themes directly relevant to XEL: (1) data-center demand is robust and growing, with constructive large-load tariff frameworks protecting existing customers; (2) regulated utility earnings are resilient despite weather headwinds, with peers reaffirming or raising guidance; and (3) rate-regulatory environments remain broadly supportive of necessary infrastructure investment.</w:t>
      </w:r>
    </w:p>
    <w:p>
      <w:r>
        <w:rPr>
          <w:rFonts w:ascii="Calibri" w:hAnsi="Calibri"/>
          <w:b/>
          <w:color w:val="525866"/>
          <w:sz w:val="22"/>
        </w:rPr>
        <w:t xml:space="preserve">Scope: </w:t>
      </w:r>
      <w:r>
        <w:rPr>
          <w:rFonts w:ascii="Calibri" w:hAnsi="Calibri"/>
          <w:color w:val="525866"/>
          <w:sz w:val="22"/>
        </w:rPr>
        <w:t>Only commentary from the last 60 days (on or after May 30, 2026) that addresses Q2 2026 performance, forward 2026/2027 outlook, or current-quarter themes is included below. Prior-quarter retrospective commentary is excluded.</w:t>
      </w:r>
    </w:p>
    <w:p>
      <w:pPr>
        <w:pStyle w:val="Heading3"/>
      </w:pPr>
      <w:r>
        <w:rPr>
          <w:rFonts w:ascii="Calibri" w:hAnsi="Calibri"/>
          <w:b/>
          <w:color w:val="3B4259"/>
          <w:sz w:val="24"/>
        </w:rPr>
        <w:t>CMS Energy (CMS) — Q2 2026 Earnings Call, July 28, 2026</w:t>
      </w:r>
    </w:p>
    <w:p>
      <w:r>
        <w:rPr>
          <w:rFonts w:ascii="Calibri" w:hAnsi="Calibri"/>
          <w:b/>
          <w:color w:val="525866"/>
          <w:sz w:val="22"/>
        </w:rPr>
        <w:t xml:space="preserve">Relevance to XEL: </w:t>
      </w:r>
      <w:r>
        <w:rPr>
          <w:rFonts w:ascii="Calibri" w:hAnsi="Calibri"/>
          <w:color w:val="525866"/>
          <w:sz w:val="22"/>
        </w:rPr>
        <w:t>CMS is a regulated Michigan utility with a similar data-center growth narrative, large-load tariff framework, and rate case cycle. Its Q2 2026 commentary provides a direct read-through on sector-wide themes.</w:t>
      </w:r>
    </w:p>
    <w:p>
      <w:pPr>
        <w:pStyle w:val="ListBullet"/>
        <w:ind w:left="360" w:hanging="360"/>
      </w:pPr>
      <w:r>
        <w:rPr>
          <w:rFonts w:ascii="Calibri" w:hAnsi="Calibri"/>
          <w:b/>
          <w:color w:val="525866"/>
          <w:sz w:val="22"/>
        </w:rPr>
        <w:t xml:space="preserve">Guidance reaffirmed and raised: </w:t>
      </w:r>
      <w:r>
        <w:rPr>
          <w:rFonts w:ascii="Calibri" w:hAnsi="Calibri"/>
          <w:color w:val="525866"/>
          <w:sz w:val="22"/>
        </w:rPr>
        <w:t xml:space="preserve">CMS reaffirmed FY 2026 adjusted EPS guidance of $3.83–$3.90 with “continued confidence toward the high end” and introduced FY 2027 guidance of $4.17/share, maintaining 6–8% long-term growth. </w:t>
      </w:r>
      <w:r>
        <w:rPr>
          <w:rFonts w:ascii="Calibri" w:hAnsi="Calibri"/>
          <w:i/>
          <w:color w:val="525866"/>
          <w:sz w:val="22"/>
        </w:rPr>
        <w:t xml:space="preserve">XEL read-through: </w:t>
      </w:r>
      <w:r>
        <w:rPr>
          <w:rFonts w:ascii="Calibri" w:hAnsi="Calibri"/>
          <w:color w:val="525866"/>
          <w:sz w:val="22"/>
        </w:rPr>
        <w:t>Peers are delivering on guidance despite weather headwinds — supports XEL’s own reaffirmation of $4.04–$4.16 as credible.</w:t>
      </w:r>
    </w:p>
    <w:p>
      <w:pPr>
        <w:pStyle w:val="ListBullet"/>
        <w:ind w:left="360" w:hanging="360"/>
      </w:pPr>
      <w:r>
        <w:rPr>
          <w:rFonts w:ascii="Calibri" w:hAnsi="Calibri"/>
          <w:b/>
          <w:color w:val="525866"/>
          <w:sz w:val="22"/>
        </w:rPr>
        <w:t xml:space="preserve">Data-center large-load tariff progress: </w:t>
      </w:r>
      <w:r>
        <w:rPr>
          <w:rFonts w:ascii="Calibri" w:hAnsi="Calibri"/>
          <w:color w:val="525866"/>
          <w:sz w:val="22"/>
        </w:rPr>
        <w:t xml:space="preserve">CMS reached an agreement under its large-load tariff (including both an Extraordinary Facilities Agreement and a rate agreement), calling it “one of the most constructive frameworks in the country for data center growth.” The tariff ensures new large-load customers “bear all costs to serve them,” and CMS estimates existing residential customers could see ~$7.50/month of bill benefit per GW of new large load. </w:t>
      </w:r>
      <w:r>
        <w:rPr>
          <w:rFonts w:ascii="Calibri" w:hAnsi="Calibri"/>
          <w:i/>
          <w:color w:val="525866"/>
          <w:sz w:val="22"/>
        </w:rPr>
        <w:t xml:space="preserve">XEL read-through: </w:t>
      </w:r>
      <w:r>
        <w:rPr>
          <w:rFonts w:ascii="Calibri" w:hAnsi="Calibri"/>
          <w:color w:val="525866"/>
          <w:sz w:val="22"/>
        </w:rPr>
        <w:t>XEL filed its Colorado large-load tariff in April 2026 with similar terms to its Google ESA and Minnesota tariff. CMS’s successful execution of a comparable framework validates XEL’s approach and the regulatory receptivity to customer-protective large-load structures.</w:t>
      </w:r>
    </w:p>
    <w:p>
      <w:pPr>
        <w:pStyle w:val="ListBullet"/>
        <w:ind w:left="360" w:hanging="360"/>
      </w:pPr>
      <w:r>
        <w:rPr>
          <w:rFonts w:ascii="Calibri" w:hAnsi="Calibri"/>
          <w:b/>
          <w:color w:val="525866"/>
          <w:sz w:val="22"/>
        </w:rPr>
        <w:t xml:space="preserve">Non-utility renewables exit: </w:t>
      </w:r>
      <w:r>
        <w:rPr>
          <w:rFonts w:ascii="Calibri" w:hAnsi="Calibri"/>
          <w:color w:val="525866"/>
          <w:sz w:val="22"/>
        </w:rPr>
        <w:t xml:space="preserve">CMS announced plans to exit non-utility renewables development, reallocating ~$1.7B of planned capex to the regulated utility, targeting “nearly 100% of earnings and future growth” from the rate base by 2027+. This reduces equity needs by at least $350M and total funding by $500M+ through 2030. </w:t>
      </w:r>
      <w:r>
        <w:rPr>
          <w:rFonts w:ascii="Calibri" w:hAnsi="Calibri"/>
          <w:i/>
          <w:color w:val="525866"/>
          <w:sz w:val="22"/>
        </w:rPr>
        <w:t xml:space="preserve">XEL read-through: </w:t>
      </w:r>
      <w:r>
        <w:rPr>
          <w:rFonts w:ascii="Calibri" w:hAnsi="Calibri"/>
          <w:color w:val="525866"/>
          <w:sz w:val="22"/>
        </w:rPr>
        <w:t>XEL is already a pure-play regulated utility — CMS’s move toward XEL’s model is a sector-wide validation of the regulated utility investment thesis.</w:t>
      </w:r>
    </w:p>
    <w:p>
      <w:pPr>
        <w:pStyle w:val="ListBullet"/>
        <w:ind w:left="360" w:hanging="360"/>
      </w:pPr>
      <w:r>
        <w:rPr>
          <w:rFonts w:ascii="Calibri" w:hAnsi="Calibri"/>
          <w:b/>
          <w:color w:val="525866"/>
          <w:sz w:val="22"/>
        </w:rPr>
        <w:t xml:space="preserve">Weather headwinds managed: </w:t>
      </w:r>
      <w:r>
        <w:rPr>
          <w:rFonts w:ascii="Calibri" w:hAnsi="Calibri"/>
          <w:color w:val="525866"/>
          <w:sz w:val="22"/>
        </w:rPr>
        <w:t xml:space="preserve">CMS reported unfavorable weather variance of $0.08 YTD and $0.19 of unfavorable O&amp;M from storms, yet maintained full-year guidance confidence. </w:t>
      </w:r>
      <w:r>
        <w:rPr>
          <w:rFonts w:ascii="Calibri" w:hAnsi="Calibri"/>
          <w:i/>
          <w:color w:val="525866"/>
          <w:sz w:val="22"/>
        </w:rPr>
        <w:t xml:space="preserve">XEL read-through: </w:t>
      </w:r>
      <w:r>
        <w:rPr>
          <w:rFonts w:ascii="Calibri" w:hAnsi="Calibri"/>
          <w:color w:val="525866"/>
          <w:sz w:val="22"/>
        </w:rPr>
        <w:t>Confirms that weather headwinds in Q2 are manageable and do not threaten full-year guidance — consistent with XEL’s own Q1 experience (warmest Colorado winter on record, $0.09/share weather headwind, yet guidance maintained).</w:t>
      </w:r>
    </w:p>
    <w:p>
      <w:pPr>
        <w:pStyle w:val="ListBullet"/>
        <w:ind w:left="360" w:hanging="360"/>
      </w:pPr>
      <w:r>
        <w:rPr>
          <w:rFonts w:ascii="Calibri" w:hAnsi="Calibri"/>
          <w:b/>
          <w:color w:val="525866"/>
          <w:sz w:val="22"/>
        </w:rPr>
        <w:t xml:space="preserve">Rate case filings: </w:t>
      </w:r>
      <w:r>
        <w:rPr>
          <w:rFonts w:ascii="Calibri" w:hAnsi="Calibri"/>
          <w:color w:val="525866"/>
          <w:sz w:val="22"/>
        </w:rPr>
        <w:t xml:space="preserve">CMS filed an electric rate case in June 2026 requesting $456M revenue increase, 10.25% ROE, and 51.75% equity ratio, plus a gas rate case revised to $232M. </w:t>
      </w:r>
      <w:r>
        <w:rPr>
          <w:rFonts w:ascii="Calibri" w:hAnsi="Calibri"/>
          <w:i/>
          <w:color w:val="525866"/>
          <w:sz w:val="22"/>
        </w:rPr>
        <w:t xml:space="preserve">XEL read-through: </w:t>
      </w:r>
      <w:r>
        <w:rPr>
          <w:rFonts w:ascii="Calibri" w:hAnsi="Calibri"/>
          <w:color w:val="525866"/>
          <w:sz w:val="22"/>
        </w:rPr>
        <w:t>CMS’s willingness to file for a 10.25% ROE in a constructive regulatory environment provides a benchmark; XEL’s pending Colorado electric rate case and SPS cases are seeking similar ROE levels.</w:t>
      </w:r>
    </w:p>
    <w:p>
      <w:pPr>
        <w:pStyle w:val="Heading3"/>
      </w:pPr>
      <w:r>
        <w:rPr>
          <w:rFonts w:ascii="Calibri" w:hAnsi="Calibri"/>
          <w:b/>
          <w:color w:val="3B4259"/>
          <w:sz w:val="24"/>
        </w:rPr>
        <w:t>DTE Energy (DTE) — Q2 2026 Earnings Call, July 28, 2026</w:t>
      </w:r>
    </w:p>
    <w:p>
      <w:r>
        <w:rPr>
          <w:rFonts w:ascii="Calibri" w:hAnsi="Calibri"/>
          <w:b/>
          <w:color w:val="525866"/>
          <w:sz w:val="22"/>
        </w:rPr>
        <w:t xml:space="preserve">Relevance to XEL: </w:t>
      </w:r>
      <w:r>
        <w:rPr>
          <w:rFonts w:ascii="Calibri" w:hAnsi="Calibri"/>
          <w:color w:val="525866"/>
          <w:sz w:val="22"/>
        </w:rPr>
        <w:t>DTE is a regulated Michigan utility with the largest executed data-center pipeline among Midwest peers (2.4 GW contracted). Its Q2 2026 commentary provides the most detailed read-through on data-center contracting mechanics, counterparty risk management, and regulatory strategy.</w:t>
      </w:r>
    </w:p>
    <w:p>
      <w:pPr>
        <w:pStyle w:val="ListBullet"/>
        <w:ind w:left="360" w:hanging="360"/>
      </w:pPr>
      <w:r>
        <w:rPr>
          <w:rFonts w:ascii="Calibri" w:hAnsi="Calibri"/>
          <w:b/>
          <w:color w:val="525866"/>
          <w:sz w:val="22"/>
        </w:rPr>
        <w:t xml:space="preserve">Guidance on track for high end: </w:t>
      </w:r>
      <w:r>
        <w:rPr>
          <w:rFonts w:ascii="Calibri" w:hAnsi="Calibri"/>
          <w:color w:val="525866"/>
          <w:sz w:val="22"/>
        </w:rPr>
        <w:t xml:space="preserve">DTE reported Q2 2026 operating EPS of $1.32/share and remains “on track to reach the high end” of its 6–8% operating EPS growth guidance for 2026, supported by incremental rate relief (Electric in March, Gas order expected September) and non-utility performance. </w:t>
      </w:r>
      <w:r>
        <w:rPr>
          <w:rFonts w:ascii="Calibri" w:hAnsi="Calibri"/>
          <w:i/>
          <w:color w:val="525866"/>
          <w:sz w:val="22"/>
        </w:rPr>
        <w:t xml:space="preserve">XEL read-through: </w:t>
      </w:r>
      <w:r>
        <w:rPr>
          <w:rFonts w:ascii="Calibri" w:hAnsi="Calibri"/>
          <w:color w:val="525866"/>
          <w:sz w:val="22"/>
        </w:rPr>
        <w:t>Peers are delivering at or above the high end of guidance ranges despite weather and storm headwinds — a positive read for XEL’s ability to deliver within its $4.04–$4.16 range.</w:t>
      </w:r>
    </w:p>
    <w:p>
      <w:pPr>
        <w:pStyle w:val="ListBullet"/>
        <w:ind w:left="360" w:hanging="360"/>
      </w:pPr>
      <w:r>
        <w:rPr>
          <w:rFonts w:ascii="Calibri" w:hAnsi="Calibri"/>
          <w:b/>
          <w:color w:val="525866"/>
          <w:sz w:val="22"/>
        </w:rPr>
        <w:t xml:space="preserve">Data-center pipeline robust: </w:t>
      </w:r>
      <w:r>
        <w:rPr>
          <w:rFonts w:ascii="Calibri" w:hAnsi="Calibri"/>
          <w:color w:val="525866"/>
          <w:sz w:val="22"/>
        </w:rPr>
        <w:t xml:space="preserve">DTE has 2.4 GW of executed agreements (1.4 GW Oracle, 1.0 GW Google), 2 GW in advanced discussions (target: additional agreement by end-2026), and 3–4 GW in earlier-stage pipeline (5–6 GW total additional opportunity). Oracle construction is proceeding as planned with “all positive indicators” for a fast ramp. </w:t>
      </w:r>
      <w:r>
        <w:rPr>
          <w:rFonts w:ascii="Calibri" w:hAnsi="Calibri"/>
          <w:i/>
          <w:color w:val="525866"/>
          <w:sz w:val="22"/>
        </w:rPr>
        <w:t xml:space="preserve">XEL read-through: </w:t>
      </w:r>
      <w:r>
        <w:rPr>
          <w:rFonts w:ascii="Calibri" w:hAnsi="Calibri"/>
          <w:color w:val="525866"/>
          <w:sz w:val="22"/>
        </w:rPr>
        <w:t>XEL’s 6 GW target by year-end 2027 is consistent with the pace of contracting seen at DTE. DTE’s experience confirms that zoning is the primary bottleneck for new data-center developments — relevant for XEL’s pipeline in Colorado, Texas, and New Mexico.</w:t>
      </w:r>
    </w:p>
    <w:p>
      <w:pPr>
        <w:pStyle w:val="ListBullet"/>
        <w:ind w:left="360" w:hanging="360"/>
      </w:pPr>
      <w:r>
        <w:rPr>
          <w:rFonts w:ascii="Calibri" w:hAnsi="Calibri"/>
          <w:b/>
          <w:color w:val="525866"/>
          <w:sz w:val="22"/>
        </w:rPr>
        <w:t xml:space="preserve">Counterparty risk management: </w:t>
      </w:r>
      <w:r>
        <w:rPr>
          <w:rFonts w:ascii="Calibri" w:hAnsi="Calibri"/>
          <w:color w:val="525866"/>
          <w:sz w:val="22"/>
        </w:rPr>
        <w:t xml:space="preserve">Following S&amp;P’s downgrade of Oracle (still investment grade), DTE confirmed its contract has collateral requirements at various downgrade triggers, providing “full protection from stranded asset risk.” DTE stated it does not expect the downgrade to impact Oracle project completion or timing. </w:t>
      </w:r>
      <w:r>
        <w:rPr>
          <w:rFonts w:ascii="Calibri" w:hAnsi="Calibri"/>
          <w:i/>
          <w:color w:val="525866"/>
          <w:sz w:val="22"/>
        </w:rPr>
        <w:t xml:space="preserve">XEL read-through: </w:t>
      </w:r>
      <w:r>
        <w:rPr>
          <w:rFonts w:ascii="Calibri" w:hAnsi="Calibri"/>
          <w:color w:val="525866"/>
          <w:sz w:val="22"/>
        </w:rPr>
        <w:t>XEL’s Google ESA (15-year, customer-funded generation) has a similar customer-protective structure. DTE’s disclosure provides a template for how XEL might address counterparty risk questions on its Q2 call.</w:t>
      </w:r>
    </w:p>
    <w:p>
      <w:pPr>
        <w:pStyle w:val="ListBullet"/>
        <w:ind w:left="360" w:hanging="360"/>
      </w:pPr>
      <w:r>
        <w:rPr>
          <w:rFonts w:ascii="Calibri" w:hAnsi="Calibri"/>
          <w:b/>
          <w:color w:val="525866"/>
          <w:sz w:val="22"/>
        </w:rPr>
        <w:t xml:space="preserve">Rate case stay-out enabled by data centers: </w:t>
      </w:r>
      <w:r>
        <w:rPr>
          <w:rFonts w:ascii="Calibri" w:hAnsi="Calibri"/>
          <w:color w:val="525866"/>
          <w:sz w:val="22"/>
        </w:rPr>
        <w:t xml:space="preserve">DTE proposed a regulatory mechanism to capture excess margin if Oracle load ramps faster than modeled, flowing benefits to customers — which, if approved, would support a rate case stay-out until at least 2028. The stay-out mechanism was “viewed very positively” in pre-filing discussions with staff and intervenors. </w:t>
      </w:r>
      <w:r>
        <w:rPr>
          <w:rFonts w:ascii="Calibri" w:hAnsi="Calibri"/>
          <w:i/>
          <w:color w:val="525866"/>
          <w:sz w:val="22"/>
        </w:rPr>
        <w:t xml:space="preserve">XEL read-through: </w:t>
      </w:r>
      <w:r>
        <w:rPr>
          <w:rFonts w:ascii="Calibri" w:hAnsi="Calibri"/>
          <w:color w:val="525866"/>
          <w:sz w:val="22"/>
        </w:rPr>
        <w:t>XEL’s large-load tariff filings include similar customer-protective provisions. DTE’s experience suggests regulators are receptive to data-center-enabled affordability mechanisms, which could support XEL’s regulatory strategy in Colorado and Minnesota.</w:t>
      </w:r>
    </w:p>
    <w:p>
      <w:pPr>
        <w:pStyle w:val="ListBullet"/>
        <w:ind w:left="360" w:hanging="360"/>
      </w:pPr>
      <w:r>
        <w:rPr>
          <w:rFonts w:ascii="Calibri" w:hAnsi="Calibri"/>
          <w:b/>
          <w:color w:val="525866"/>
          <w:sz w:val="22"/>
        </w:rPr>
        <w:t xml:space="preserve">IRP filing in Q3 2026: </w:t>
      </w:r>
      <w:r>
        <w:rPr>
          <w:rFonts w:ascii="Calibri" w:hAnsi="Calibri"/>
          <w:color w:val="525866"/>
          <w:sz w:val="22"/>
        </w:rPr>
        <w:t xml:space="preserve">DTE plans to file its IRP in Q3 2026, with the base case incorporating the two executed data-center contracts and the high-end scenario incorporating the full pipeline. </w:t>
      </w:r>
      <w:r>
        <w:rPr>
          <w:rFonts w:ascii="Calibri" w:hAnsi="Calibri"/>
          <w:i/>
          <w:color w:val="525866"/>
          <w:sz w:val="22"/>
        </w:rPr>
        <w:t xml:space="preserve">XEL read-through: </w:t>
      </w:r>
      <w:r>
        <w:rPr>
          <w:rFonts w:ascii="Calibri" w:hAnsi="Calibri"/>
          <w:color w:val="525866"/>
          <w:sz w:val="22"/>
        </w:rPr>
        <w:t>XEL has active generation RFPs in PSCo, NSP, and SPS. DTE’s IRP approach (base vs. high-end data-center scenarios) provides a framework for how XEL might present its own resource planning to regulators.</w:t>
      </w:r>
    </w:p>
    <w:p>
      <w:pPr>
        <w:pStyle w:val="ListBullet"/>
        <w:ind w:left="360" w:hanging="360"/>
      </w:pPr>
      <w:r>
        <w:rPr>
          <w:rFonts w:ascii="Calibri" w:hAnsi="Calibri"/>
          <w:b/>
          <w:color w:val="525866"/>
          <w:sz w:val="22"/>
        </w:rPr>
        <w:t xml:space="preserve">Weather and storm headwinds: </w:t>
      </w:r>
      <w:r>
        <w:rPr>
          <w:rFonts w:ascii="Calibri" w:hAnsi="Calibri"/>
          <w:color w:val="525866"/>
          <w:sz w:val="22"/>
        </w:rPr>
        <w:t xml:space="preserve">A severe July storm impacted ~400,000 DTE customers, causing widespread damage (600+ broken poles). DTE noted that “areas where we have completed substantial reliability investments performed significantly better,” reinforcing the value of grid hardening capex. </w:t>
      </w:r>
      <w:r>
        <w:rPr>
          <w:rFonts w:ascii="Calibri" w:hAnsi="Calibri"/>
          <w:i/>
          <w:color w:val="525866"/>
          <w:sz w:val="22"/>
        </w:rPr>
        <w:t xml:space="preserve">XEL read-through: </w:t>
      </w:r>
      <w:r>
        <w:rPr>
          <w:rFonts w:ascii="Calibri" w:hAnsi="Calibri"/>
          <w:color w:val="525866"/>
          <w:sz w:val="22"/>
        </w:rPr>
        <w:t>XEL’s own grid hardening and wildfire mitigation investments are subject to similar regulatory scrutiny. DTE’s experience supports the investment case for XEL’s infrastructure capex.</w:t>
      </w:r>
    </w:p>
    <w:p>
      <w:pPr>
        <w:pStyle w:val="Heading3"/>
      </w:pPr>
      <w:r>
        <w:rPr>
          <w:rFonts w:ascii="Calibri" w:hAnsi="Calibri"/>
          <w:b/>
          <w:color w:val="3B4259"/>
          <w:sz w:val="24"/>
        </w:rPr>
        <w:t>Entergy (ETR) — Q2 2026 Earnings Call, July 29, 2026</w:t>
      </w:r>
    </w:p>
    <w:p>
      <w:r>
        <w:rPr>
          <w:rFonts w:ascii="Calibri" w:hAnsi="Calibri"/>
          <w:b/>
          <w:color w:val="525866"/>
          <w:sz w:val="22"/>
        </w:rPr>
        <w:t xml:space="preserve">Relevance to XEL: </w:t>
      </w:r>
      <w:r>
        <w:rPr>
          <w:rFonts w:ascii="Calibri" w:hAnsi="Calibri"/>
          <w:color w:val="525866"/>
          <w:sz w:val="22"/>
        </w:rPr>
        <w:t>Entergy is a regulated utility with a large and growing data-center pipeline (7–12 GW hyperscale potential) and active regulatory proceedings across multiple states. Its Q2 2026 commentary provides read-throughs on large-load demand trends, regulatory strategy, and financing discipline.</w:t>
      </w:r>
    </w:p>
    <w:p>
      <w:pPr>
        <w:pStyle w:val="ListBullet"/>
        <w:ind w:left="360" w:hanging="360"/>
      </w:pPr>
      <w:r>
        <w:rPr>
          <w:rFonts w:ascii="Calibri" w:hAnsi="Calibri"/>
          <w:b/>
          <w:color w:val="525866"/>
          <w:sz w:val="22"/>
        </w:rPr>
        <w:t xml:space="preserve">Guidance affirmed through 2030: </w:t>
      </w:r>
      <w:r>
        <w:rPr>
          <w:rFonts w:ascii="Calibri" w:hAnsi="Calibri"/>
          <w:color w:val="525866"/>
          <w:sz w:val="22"/>
        </w:rPr>
        <w:t xml:space="preserve">Entergy reported Q2 2026 adjusted EPS of $1.03 (slightly lower YoY due to weather normalization vs. warm Q2 2025) and affirmed its 2026 adjusted EPS guidance and outlooks through 2030, stating it is “firmly on track.” Excluding weather, retail sales growth was positive, driven by 10% industrial sales growth. </w:t>
      </w:r>
      <w:r>
        <w:rPr>
          <w:rFonts w:ascii="Calibri" w:hAnsi="Calibri"/>
          <w:i/>
          <w:color w:val="525866"/>
          <w:sz w:val="22"/>
        </w:rPr>
        <w:t xml:space="preserve">XEL read-through: </w:t>
      </w:r>
      <w:r>
        <w:rPr>
          <w:rFonts w:ascii="Calibri" w:hAnsi="Calibri"/>
          <w:color w:val="525866"/>
          <w:sz w:val="22"/>
        </w:rPr>
        <w:t>Strong industrial/large-load demand growth is a sector-wide theme. XEL’s Q1 2026 weather-adjusted electric sales grew +2.8%, and the Q2 2026 consensus implies +1.9% volume growth — consistent with the broader demand environment.</w:t>
      </w:r>
    </w:p>
    <w:p>
      <w:pPr>
        <w:pStyle w:val="ListBullet"/>
        <w:ind w:left="360" w:hanging="360"/>
      </w:pPr>
      <w:r>
        <w:rPr>
          <w:rFonts w:ascii="Calibri" w:hAnsi="Calibri"/>
          <w:b/>
          <w:color w:val="525866"/>
          <w:sz w:val="22"/>
        </w:rPr>
        <w:t xml:space="preserve">Data-center pipeline growing: </w:t>
      </w:r>
      <w:r>
        <w:rPr>
          <w:rFonts w:ascii="Calibri" w:hAnsi="Calibri"/>
          <w:color w:val="525866"/>
          <w:sz w:val="22"/>
        </w:rPr>
        <w:t xml:space="preserve">Entergy has a pipeline of 7–12 GW of hyperscale data-center potential and 3–5 GW of traditional industrial interest. Since its Investor Day, “interest in potential large-scale projects throughout our service area has continued to grow.” The company’s “Fair Share Plus” pledge ensures data-center customers provide customer bill benefits. Louisiana Governor signed an executive order (late June 2026) ensuring new data centers provide customer benefits as a condition for state sales tax exemptions. </w:t>
      </w:r>
      <w:r>
        <w:rPr>
          <w:rFonts w:ascii="Calibri" w:hAnsi="Calibri"/>
          <w:i/>
          <w:color w:val="525866"/>
          <w:sz w:val="22"/>
        </w:rPr>
        <w:t xml:space="preserve">XEL read-through: </w:t>
      </w:r>
      <w:r>
        <w:rPr>
          <w:rFonts w:ascii="Calibri" w:hAnsi="Calibri"/>
          <w:color w:val="525866"/>
          <w:sz w:val="22"/>
        </w:rPr>
        <w:t>State-level policy support for data-center development (as seen in Louisiana) is a positive read for XEL’s efforts to secure large-load tariff approvals in Colorado, Texas, and New Mexico. XEL’s Google ESA structure (customer-funded generation, $1B–$1.5B in estimated customer savings) is directly analogous to Entergy’s “Fair Share Plus” framework.</w:t>
      </w:r>
    </w:p>
    <w:p>
      <w:pPr>
        <w:pStyle w:val="ListBullet"/>
        <w:ind w:left="360" w:hanging="360"/>
      </w:pPr>
      <w:r>
        <w:rPr>
          <w:rFonts w:ascii="Calibri" w:hAnsi="Calibri"/>
          <w:b/>
          <w:color w:val="525866"/>
          <w:sz w:val="22"/>
        </w:rPr>
        <w:t xml:space="preserve">Local opposition risk flagged: </w:t>
      </w:r>
      <w:r>
        <w:rPr>
          <w:rFonts w:ascii="Calibri" w:hAnsi="Calibri"/>
          <w:color w:val="525866"/>
          <w:sz w:val="22"/>
        </w:rPr>
        <w:t xml:space="preserve">Entergy noted a “moratorium for data centers” currently in New Orleans, which the company is working to lift. </w:t>
      </w:r>
      <w:r>
        <w:rPr>
          <w:rFonts w:ascii="Calibri" w:hAnsi="Calibri"/>
          <w:i/>
          <w:color w:val="525866"/>
          <w:sz w:val="22"/>
        </w:rPr>
        <w:t xml:space="preserve">XEL read-through: </w:t>
      </w:r>
      <w:r>
        <w:rPr>
          <w:rFonts w:ascii="Calibri" w:hAnsi="Calibri"/>
          <w:color w:val="525866"/>
          <w:sz w:val="22"/>
        </w:rPr>
        <w:t>Local opposition (NIMBYism) is a real risk even with broader state support. XEL should be prepared to address similar concerns in its service territories, particularly in Colorado where the large-load tariff was recently filed.</w:t>
      </w:r>
    </w:p>
    <w:p>
      <w:pPr>
        <w:pStyle w:val="ListBullet"/>
        <w:ind w:left="360" w:hanging="360"/>
      </w:pPr>
      <w:r>
        <w:rPr>
          <w:rFonts w:ascii="Calibri" w:hAnsi="Calibri"/>
          <w:b/>
          <w:color w:val="525866"/>
          <w:sz w:val="22"/>
        </w:rPr>
        <w:t xml:space="preserve">Regulatory mechanisms advancing: </w:t>
      </w:r>
      <w:r>
        <w:rPr>
          <w:rFonts w:ascii="Calibri" w:hAnsi="Calibri"/>
          <w:color w:val="525866"/>
          <w:sz w:val="22"/>
        </w:rPr>
        <w:t xml:space="preserve">Entergy Texas received approval for its first-ever capacity cost recovery rider; Entergy Arkansas has new rates in effect for the Generating Arkansas Jobs Act rider; Entergy Mississippi’s annual FRP filing was approved with no rate change; Entergy Louisiana and New Orleans filed annual fees with new rates expected September 2026. </w:t>
      </w:r>
      <w:r>
        <w:rPr>
          <w:rFonts w:ascii="Calibri" w:hAnsi="Calibri"/>
          <w:i/>
          <w:color w:val="525866"/>
          <w:sz w:val="22"/>
        </w:rPr>
        <w:t xml:space="preserve">XEL read-through: </w:t>
      </w:r>
      <w:r>
        <w:rPr>
          <w:rFonts w:ascii="Calibri" w:hAnsi="Calibri"/>
          <w:color w:val="525866"/>
          <w:sz w:val="22"/>
        </w:rPr>
        <w:t>The breadth of constructive regulatory outcomes across Entergy’s multi-state footprint is a positive read for XEL’s own multi-state regulatory calendar (Minnesota written order expected July 31, Colorado electric case pending, NM and CO gas cases in process).</w:t>
      </w:r>
    </w:p>
    <w:p>
      <w:pPr>
        <w:pStyle w:val="ListBullet"/>
        <w:ind w:left="360" w:hanging="360"/>
      </w:pPr>
      <w:r>
        <w:rPr>
          <w:rFonts w:ascii="Calibri" w:hAnsi="Calibri"/>
          <w:b/>
          <w:color w:val="525866"/>
          <w:sz w:val="22"/>
        </w:rPr>
        <w:t xml:space="preserve">Financing discipline: </w:t>
      </w:r>
      <w:r>
        <w:rPr>
          <w:rFonts w:ascii="Calibri" w:hAnsi="Calibri"/>
          <w:color w:val="525866"/>
          <w:sz w:val="22"/>
        </w:rPr>
        <w:t xml:space="preserve">Entergy completed a $2.175B equity forward offering in May 2026, with ~60% of its 5-year equity plan contracted. S&amp;P noted Entergy’s “credit profile appears positioned to benefit from data center expansion as a result of disciplined contracting and constructive regulatory tools.” </w:t>
      </w:r>
      <w:r>
        <w:rPr>
          <w:rFonts w:ascii="Calibri" w:hAnsi="Calibri"/>
          <w:i/>
          <w:color w:val="525866"/>
          <w:sz w:val="22"/>
        </w:rPr>
        <w:t xml:space="preserve">XEL read-through: </w:t>
      </w:r>
      <w:r>
        <w:rPr>
          <w:rFonts w:ascii="Calibri" w:hAnsi="Calibri"/>
          <w:color w:val="525866"/>
          <w:sz w:val="22"/>
        </w:rPr>
        <w:t>XEL’s $4.3B ATM program and $1B+ of Q1 2026 equity forwards are consistent with the sector’s proactive equity funding approach. Rating agency recognition of disciplined contracting as a credit positive is directly applicable to XEL’s Google ESA and large-load tariff strategy.</w:t>
      </w:r>
    </w:p>
    <w:p>
      <w:pPr>
        <w:pStyle w:val="Heading3"/>
      </w:pPr>
      <w:r>
        <w:rPr>
          <w:rFonts w:ascii="Calibri" w:hAnsi="Calibri"/>
          <w:b/>
          <w:color w:val="3B4259"/>
          <w:sz w:val="24"/>
        </w:rPr>
        <w:t>Peer Commentary Summary Table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Theme</w:t>
            </w:r>
          </w:p>
        </w:tc>
        <w:tc>
          <w:tcPr>
            <w:tcW w:type="dxa" w:w="1728"/>
            <w:shd w:val="clear" w:color="auto" w:fill="3B4259"/>
          </w:tcPr>
          <w:p>
            <w:r>
              <w:rPr>
                <w:rFonts w:ascii="Calibri" w:hAnsi="Calibri"/>
                <w:b/>
                <w:color w:val="FFFFFF"/>
                <w:sz w:val="22"/>
              </w:rPr>
              <w:t>CMS (Jul 28, 2026)</w:t>
            </w:r>
          </w:p>
        </w:tc>
        <w:tc>
          <w:tcPr>
            <w:tcW w:type="dxa" w:w="1728"/>
            <w:shd w:val="clear" w:color="auto" w:fill="3B4259"/>
          </w:tcPr>
          <w:p>
            <w:r>
              <w:rPr>
                <w:rFonts w:ascii="Calibri" w:hAnsi="Calibri"/>
                <w:b/>
                <w:color w:val="FFFFFF"/>
                <w:sz w:val="22"/>
              </w:rPr>
              <w:t>DTE (Jul 28, 2026)</w:t>
            </w:r>
          </w:p>
        </w:tc>
        <w:tc>
          <w:tcPr>
            <w:tcW w:type="dxa" w:w="1728"/>
            <w:shd w:val="clear" w:color="auto" w:fill="3B4259"/>
          </w:tcPr>
          <w:p>
            <w:r>
              <w:rPr>
                <w:rFonts w:ascii="Calibri" w:hAnsi="Calibri"/>
                <w:b/>
                <w:color w:val="FFFFFF"/>
                <w:sz w:val="22"/>
              </w:rPr>
              <w:t>ETR (Jul 29, 2026)</w:t>
            </w:r>
          </w:p>
        </w:tc>
        <w:tc>
          <w:tcPr>
            <w:tcW w:type="dxa" w:w="1728"/>
            <w:shd w:val="clear" w:color="auto" w:fill="3B4259"/>
          </w:tcPr>
          <w:p>
            <w:r>
              <w:rPr>
                <w:rFonts w:ascii="Calibri" w:hAnsi="Calibri"/>
                <w:b/>
                <w:color w:val="FFFFFF"/>
                <w:sz w:val="22"/>
              </w:rPr>
              <w:t>XEL Read-Through</w:t>
            </w:r>
          </w:p>
        </w:tc>
      </w:tr>
      <w:tr>
        <w:tc>
          <w:tcPr>
            <w:tcW w:type="dxa" w:w="1728"/>
          </w:tcPr>
          <w:p>
            <w:r>
              <w:rPr>
                <w:rFonts w:ascii="Calibri" w:hAnsi="Calibri"/>
                <w:sz w:val="22"/>
              </w:rPr>
              <w:t>FY 2026 Guidance</w:t>
            </w:r>
          </w:p>
        </w:tc>
        <w:tc>
          <w:tcPr>
            <w:tcW w:type="dxa" w:w="1728"/>
          </w:tcPr>
          <w:p>
            <w:r>
              <w:rPr>
                <w:rFonts w:ascii="Calibri" w:hAnsi="Calibri"/>
                <w:sz w:val="22"/>
              </w:rPr>
              <w:t>Reaffirmed; confident toward high end; 2027 guidance introduced at $4.17</w:t>
            </w:r>
          </w:p>
        </w:tc>
        <w:tc>
          <w:tcPr>
            <w:tcW w:type="dxa" w:w="1728"/>
          </w:tcPr>
          <w:p>
            <w:r>
              <w:rPr>
                <w:rFonts w:ascii="Calibri" w:hAnsi="Calibri"/>
                <w:sz w:val="22"/>
              </w:rPr>
              <w:t>On track for high end of 6–8% growth range</w:t>
            </w:r>
          </w:p>
        </w:tc>
        <w:tc>
          <w:tcPr>
            <w:tcW w:type="dxa" w:w="1728"/>
          </w:tcPr>
          <w:p>
            <w:r>
              <w:rPr>
                <w:rFonts w:ascii="Calibri" w:hAnsi="Calibri"/>
                <w:sz w:val="22"/>
              </w:rPr>
              <w:t>Affirmed through 2030; firmly on track</w:t>
            </w:r>
          </w:p>
        </w:tc>
        <w:tc>
          <w:tcPr>
            <w:tcW w:type="dxa" w:w="1728"/>
          </w:tcPr>
          <w:p>
            <w:r>
              <w:rPr>
                <w:rFonts w:ascii="Calibri" w:hAnsi="Calibri"/>
                <w:b/>
                <w:color w:val="30A46C"/>
                <w:sz w:val="22"/>
              </w:rPr>
              <w:t>Positive — sector-wide guidance delivery supports XEL’s $4.04–$4.16 reaffirmation</w:t>
            </w:r>
          </w:p>
        </w:tc>
      </w:tr>
      <w:tr>
        <w:tc>
          <w:tcPr>
            <w:tcW w:type="dxa" w:w="1728"/>
          </w:tcPr>
          <w:p>
            <w:r>
              <w:rPr>
                <w:rFonts w:ascii="Calibri" w:hAnsi="Calibri"/>
                <w:sz w:val="22"/>
              </w:rPr>
              <w:t>Data Center / Large Load</w:t>
            </w:r>
          </w:p>
        </w:tc>
        <w:tc>
          <w:tcPr>
            <w:tcW w:type="dxa" w:w="1728"/>
          </w:tcPr>
          <w:p>
            <w:r>
              <w:rPr>
                <w:rFonts w:ascii="Calibri" w:hAnsi="Calibri"/>
                <w:sz w:val="22"/>
              </w:rPr>
              <w:t>First large-load tariff agreement signed; $7.50/mo. customer benefit per GW; IRP filing moved to September</w:t>
            </w:r>
          </w:p>
        </w:tc>
        <w:tc>
          <w:tcPr>
            <w:tcW w:type="dxa" w:w="1728"/>
          </w:tcPr>
          <w:p>
            <w:r>
              <w:rPr>
                <w:rFonts w:ascii="Calibri" w:hAnsi="Calibri"/>
                <w:sz w:val="22"/>
              </w:rPr>
              <w:t>2.4 GW contracted; 5–6 GW additional pipeline; zoning is key bottleneck; IRP in Q3 2026</w:t>
            </w:r>
          </w:p>
        </w:tc>
        <w:tc>
          <w:tcPr>
            <w:tcW w:type="dxa" w:w="1728"/>
          </w:tcPr>
          <w:p>
            <w:r>
              <w:rPr>
                <w:rFonts w:ascii="Calibri" w:hAnsi="Calibri"/>
                <w:sz w:val="22"/>
              </w:rPr>
              <w:t>7–12 GW hyperscale pipeline; growing since Investor Day; LA governor executive order supporting data centers</w:t>
            </w:r>
          </w:p>
        </w:tc>
        <w:tc>
          <w:tcPr>
            <w:tcW w:type="dxa" w:w="1728"/>
          </w:tcPr>
          <w:p>
            <w:r>
              <w:rPr>
                <w:rFonts w:ascii="Calibri" w:hAnsi="Calibri"/>
                <w:b/>
                <w:color w:val="30A46C"/>
                <w:sz w:val="22"/>
              </w:rPr>
              <w:t>Positive — validates XEL’s 6 GW target and customer-protective tariff structure; zoning risk is real</w:t>
            </w:r>
          </w:p>
        </w:tc>
      </w:tr>
      <w:tr>
        <w:tc>
          <w:tcPr>
            <w:tcW w:type="dxa" w:w="1728"/>
          </w:tcPr>
          <w:p>
            <w:r>
              <w:rPr>
                <w:rFonts w:ascii="Calibri" w:hAnsi="Calibri"/>
                <w:sz w:val="22"/>
              </w:rPr>
              <w:t>Weather / O&amp;M Headwinds</w:t>
            </w:r>
          </w:p>
        </w:tc>
        <w:tc>
          <w:tcPr>
            <w:tcW w:type="dxa" w:w="1728"/>
          </w:tcPr>
          <w:p>
            <w:r>
              <w:rPr>
                <w:rFonts w:ascii="Calibri" w:hAnsi="Calibri"/>
                <w:sz w:val="22"/>
              </w:rPr>
              <w:t>$0.08 unfavorable weather YTD; $0.19 storm O&amp;M; managed within guidance</w:t>
            </w:r>
          </w:p>
        </w:tc>
        <w:tc>
          <w:tcPr>
            <w:tcW w:type="dxa" w:w="1728"/>
          </w:tcPr>
          <w:p>
            <w:r>
              <w:rPr>
                <w:rFonts w:ascii="Calibri" w:hAnsi="Calibri"/>
                <w:sz w:val="22"/>
              </w:rPr>
              <w:t>Severe July storm (400K customers); colder/warmer weather mix; managed within guidance</w:t>
            </w:r>
          </w:p>
        </w:tc>
        <w:tc>
          <w:tcPr>
            <w:tcW w:type="dxa" w:w="1728"/>
          </w:tcPr>
          <w:p>
            <w:r>
              <w:rPr>
                <w:rFonts w:ascii="Calibri" w:hAnsi="Calibri"/>
                <w:sz w:val="22"/>
              </w:rPr>
              <w:t>Q2 near-normal weather; 10% industrial growth ex-weather; two minor tropical storms</w:t>
            </w:r>
          </w:p>
        </w:tc>
        <w:tc>
          <w:tcPr>
            <w:tcW w:type="dxa" w:w="1728"/>
          </w:tcPr>
          <w:p>
            <w:r>
              <w:rPr>
                <w:rFonts w:ascii="Calibri" w:hAnsi="Calibri"/>
                <w:sz w:val="22"/>
              </w:rPr>
              <w:t>Neutral — weather headwinds are manageable; XEL’s Q2 bar is already set conservatively</w:t>
            </w:r>
          </w:p>
        </w:tc>
      </w:tr>
      <w:tr>
        <w:tc>
          <w:tcPr>
            <w:tcW w:type="dxa" w:w="1728"/>
          </w:tcPr>
          <w:p>
            <w:r>
              <w:rPr>
                <w:rFonts w:ascii="Calibri" w:hAnsi="Calibri"/>
                <w:sz w:val="22"/>
              </w:rPr>
              <w:t>Regulatory Environment</w:t>
            </w:r>
          </w:p>
        </w:tc>
        <w:tc>
          <w:tcPr>
            <w:tcW w:type="dxa" w:w="1728"/>
          </w:tcPr>
          <w:p>
            <w:r>
              <w:rPr>
                <w:rFonts w:ascii="Calibri" w:hAnsi="Calibri"/>
                <w:sz w:val="22"/>
              </w:rPr>
              <w:t>Electric rate case filed ($456M, 10.25% ROE); gas revised to $232M; storm deferral pending</w:t>
            </w:r>
          </w:p>
        </w:tc>
        <w:tc>
          <w:tcPr>
            <w:tcW w:type="dxa" w:w="1728"/>
          </w:tcPr>
          <w:p>
            <w:r>
              <w:rPr>
                <w:rFonts w:ascii="Calibri" w:hAnsi="Calibri"/>
                <w:sz w:val="22"/>
              </w:rPr>
              <w:t>Rate case stay-out to 2028 enabled by data-center load; IRM mechanism proposed; staff testimony Aug 2026</w:t>
            </w:r>
          </w:p>
        </w:tc>
        <w:tc>
          <w:tcPr>
            <w:tcW w:type="dxa" w:w="1728"/>
          </w:tcPr>
          <w:p>
            <w:r>
              <w:rPr>
                <w:rFonts w:ascii="Calibri" w:hAnsi="Calibri"/>
                <w:sz w:val="22"/>
              </w:rPr>
              <w:t>Multiple FRP approvals; capacity cost recovery rider approved in TX; LA FRP extension expected</w:t>
            </w:r>
          </w:p>
        </w:tc>
        <w:tc>
          <w:tcPr>
            <w:tcW w:type="dxa" w:w="1728"/>
          </w:tcPr>
          <w:p>
            <w:r>
              <w:rPr>
                <w:rFonts w:ascii="Calibri" w:hAnsi="Calibri"/>
                <w:b/>
                <w:color w:val="30A46C"/>
                <w:sz w:val="22"/>
              </w:rPr>
              <w:t>Positive — constructive regulatory outcomes across sector support XEL’s pending cases</w:t>
            </w:r>
          </w:p>
        </w:tc>
      </w:tr>
      <w:tr>
        <w:tc>
          <w:tcPr>
            <w:tcW w:type="dxa" w:w="1728"/>
          </w:tcPr>
          <w:p>
            <w:r>
              <w:rPr>
                <w:rFonts w:ascii="Calibri" w:hAnsi="Calibri"/>
                <w:sz w:val="22"/>
              </w:rPr>
              <w:t>Equity / Financing</w:t>
            </w:r>
          </w:p>
        </w:tc>
        <w:tc>
          <w:tcPr>
            <w:tcW w:type="dxa" w:w="1728"/>
          </w:tcPr>
          <w:p>
            <w:r>
              <w:rPr>
                <w:rFonts w:ascii="Calibri" w:hAnsi="Calibri"/>
                <w:sz w:val="22"/>
              </w:rPr>
              <w:t>$700M equity plan; $500M completed; exiting non-utility reduces equity need by $350M+</w:t>
            </w:r>
          </w:p>
        </w:tc>
        <w:tc>
          <w:tcPr>
            <w:tcW w:type="dxa" w:w="1728"/>
          </w:tcPr>
          <w:p>
            <w:r>
              <w:rPr>
                <w:rFonts w:ascii="Calibri" w:hAnsi="Calibri"/>
                <w:sz w:val="22"/>
              </w:rPr>
              <w:t>$500–$600M annual equity; 2026 needs effectively fulfilled via ATM forwards</w:t>
            </w:r>
          </w:p>
        </w:tc>
        <w:tc>
          <w:tcPr>
            <w:tcW w:type="dxa" w:w="1728"/>
          </w:tcPr>
          <w:p>
            <w:r>
              <w:rPr>
                <w:rFonts w:ascii="Calibri" w:hAnsi="Calibri"/>
                <w:sz w:val="22"/>
              </w:rPr>
              <w:t>$2.175B equity forward completed May 2026; ~60% of 5-year plan contracted; S&amp;P credit positive on disciplined contracting</w:t>
            </w:r>
          </w:p>
        </w:tc>
        <w:tc>
          <w:tcPr>
            <w:tcW w:type="dxa" w:w="1728"/>
          </w:tcPr>
          <w:p>
            <w:r>
              <w:rPr>
                <w:rFonts w:ascii="Calibri" w:hAnsi="Calibri"/>
                <w:sz w:val="22"/>
              </w:rPr>
              <w:t>Neutral — XEL’s $4.3B ATM and $1B+ Q1 forwards are consistent with sector approach; disciplined contracting is a credit positive</w:t>
            </w:r>
          </w:p>
        </w:tc>
      </w:tr>
    </w:tbl>
    <w:p>
      <w:r>
        <w:br w:type="page"/>
      </w:r>
    </w:p>
    <w:p>
      <w:pPr>
        <w:pStyle w:val="Heading2"/>
      </w:pPr>
      <w:r>
        <w:rPr>
          <w:rFonts w:ascii="Calibri" w:hAnsi="Calibri"/>
          <w:b/>
          <w:color w:val="3B4259"/>
          <w:sz w:val="28"/>
        </w:rPr>
        <w:t>Data Sources &amp; Disclosures</w:t>
      </w:r>
    </w:p>
    <w:p>
      <w:r>
        <w:rPr>
          <w:rFonts w:ascii="Calibri" w:hAnsi="Calibri"/>
          <w:b/>
          <w:color w:val="525866"/>
          <w:sz w:val="22"/>
        </w:rPr>
        <w:t>Quantitative Data Sources:</w:t>
      </w:r>
    </w:p>
    <w:p>
      <w:pPr>
        <w:pStyle w:val="ListBullet"/>
        <w:ind w:left="360" w:hanging="360"/>
      </w:pPr>
      <w:r>
        <w:rPr>
          <w:rFonts w:ascii="Calibri" w:hAnsi="Calibri"/>
          <w:b/>
          <w:color w:val="525866"/>
          <w:sz w:val="22"/>
        </w:rPr>
        <w:t>Visible Alpha Consensus and Actuals Data</w:t>
      </w:r>
      <w:r>
        <w:rPr>
          <w:rFonts w:ascii="Calibri" w:hAnsi="Calibri"/>
          <w:color w:val="525866"/>
          <w:sz w:val="22"/>
        </w:rPr>
        <w:t xml:space="preserve"> — All EPS, revenue, and electric sales volume consensus estimates and actuals. Canonical KPI names: “EPS - Diluted - Operating($)”, “Total operating revenues”, “Total sales - Electric(GWh)”, “Sales - Electric - Commercial and Industrial(GWh)”. Source URL: https://insights.visiblealpha.com/mex/XEL_US/NMV/IS and https://insights.visiblealpha.com/mex/XEL_US/NMV/Sale</w:t>
      </w:r>
    </w:p>
    <w:p>
      <w:pPr>
        <w:pStyle w:val="ListBullet"/>
        <w:ind w:left="360" w:hanging="360"/>
      </w:pPr>
      <w:r>
        <w:rPr>
          <w:rFonts w:ascii="Calibri" w:hAnsi="Calibri"/>
          <w:b/>
          <w:color w:val="525866"/>
          <w:sz w:val="22"/>
        </w:rPr>
        <w:t>Stock Price Data (Yahoo Finance)</w:t>
      </w:r>
      <w:r>
        <w:rPr>
          <w:rFonts w:ascii="Calibri" w:hAnsi="Calibri"/>
          <w:color w:val="525866"/>
          <w:sz w:val="22"/>
        </w:rPr>
        <w:t xml:space="preserve"> — Daily closing prices for XEL, XLU, and SPY from April 29, 2026 through July 29, 2026. Used for indexed performance table and event timeline.</w:t>
      </w:r>
    </w:p>
    <w:p>
      <w:pPr>
        <w:pStyle w:val="ListBullet"/>
        <w:ind w:left="360" w:hanging="360"/>
      </w:pPr>
      <w:r>
        <w:rPr>
          <w:rFonts w:ascii="Calibri" w:hAnsi="Calibri"/>
          <w:b/>
          <w:color w:val="525866"/>
          <w:sz w:val="22"/>
        </w:rPr>
        <w:t>SEC Form 4 Filings Database</w:t>
      </w:r>
      <w:r>
        <w:rPr>
          <w:rFonts w:ascii="Calibri" w:hAnsi="Calibri"/>
          <w:color w:val="525866"/>
          <w:sz w:val="22"/>
        </w:rPr>
        <w:t xml:space="preserve"> — Insider transaction data for XEL, April 30, 2026 through July 29, 2026. No open-market transactions (codes P/S) identified.</w:t>
      </w:r>
    </w:p>
    <w:p>
      <w:pPr>
        <w:pStyle w:val="ListBullet"/>
        <w:ind w:left="360" w:hanging="360"/>
      </w:pPr>
      <w:r>
        <w:rPr>
          <w:rFonts w:ascii="Calibri" w:hAnsi="Calibri"/>
          <w:b/>
          <w:color w:val="525866"/>
          <w:sz w:val="22"/>
        </w:rPr>
        <w:t>Implied Platform — Stock Performance Decomposition</w:t>
      </w:r>
      <w:r>
        <w:rPr>
          <w:rFonts w:ascii="Calibri" w:hAnsi="Calibri"/>
          <w:color w:val="525866"/>
          <w:sz w:val="22"/>
        </w:rPr>
        <w:t xml:space="preserve"> — NTM valuation multiples (P/E, EV/EBITDA, P/B, EV/Sales, P/Sales) and multiple change attribution for 1M, 3M, 6M, and 12M horizons.</w:t>
      </w:r>
    </w:p>
    <w:p>
      <w:r>
        <w:rPr>
          <w:rFonts w:ascii="Calibri" w:hAnsi="Calibri"/>
          <w:b/>
          <w:color w:val="525866"/>
          <w:sz w:val="22"/>
        </w:rPr>
        <w:t>Qualitative / Document Sources:</w:t>
      </w:r>
    </w:p>
    <w:p>
      <w:pPr>
        <w:pStyle w:val="ListBullet"/>
        <w:ind w:left="360" w:hanging="360"/>
      </w:pPr>
      <w:r>
        <w:rPr>
          <w:rFonts w:ascii="Calibri" w:hAnsi="Calibri"/>
          <w:b/>
          <w:color w:val="525866"/>
          <w:sz w:val="22"/>
        </w:rPr>
        <w:t>XEL Q1 2026 Earnings Call Transcript (April 30, 2026)</w:t>
      </w:r>
      <w:r>
        <w:rPr>
          <w:rFonts w:ascii="Calibri" w:hAnsi="Calibri"/>
          <w:color w:val="525866"/>
          <w:sz w:val="22"/>
        </w:rPr>
        <w:t xml:space="preserve"> — Primary source for guidance, data-center strategy, capital deployment, rate case status, wildfire update, and financing activity.</w:t>
      </w:r>
    </w:p>
    <w:p>
      <w:pPr>
        <w:pStyle w:val="ListBullet"/>
        <w:ind w:left="360" w:hanging="360"/>
      </w:pPr>
      <w:r>
        <w:rPr>
          <w:rFonts w:ascii="Calibri" w:hAnsi="Calibri"/>
          <w:b/>
          <w:color w:val="525866"/>
          <w:sz w:val="22"/>
        </w:rPr>
        <w:t>XEL 8-K Filings:</w:t>
      </w:r>
      <w:r>
        <w:rPr>
          <w:rFonts w:ascii="Calibri" w:hAnsi="Calibri"/>
          <w:color w:val="525866"/>
          <w:sz w:val="22"/>
        </w:rPr>
        <w:t xml:space="preserve"> May 1, 2026 (ATM equity program); May 5, 2026 (NM intervenor testimony); May 11, 2026 (MN gas settlement); June 22, 2026 (MN electric rate case verbal decision disclosure; SPS NM stipulation; EPS guidance reaffirmation); July 13, 2026 (PSCo CO gas settlement; EPS guidance reaffirmation); July 29, 2026 (Board appointment).</w:t>
      </w:r>
    </w:p>
    <w:p>
      <w:pPr>
        <w:pStyle w:val="ListBullet"/>
        <w:ind w:left="360" w:hanging="360"/>
      </w:pPr>
      <w:r>
        <w:rPr>
          <w:rFonts w:ascii="Calibri" w:hAnsi="Calibri"/>
          <w:b/>
          <w:color w:val="525866"/>
          <w:sz w:val="22"/>
        </w:rPr>
        <w:t>CMS Energy Q2 2026 Earnings Call Transcript (July 28, 2026)</w:t>
      </w:r>
      <w:r>
        <w:rPr>
          <w:rFonts w:ascii="Calibri" w:hAnsi="Calibri"/>
          <w:color w:val="525866"/>
          <w:sz w:val="22"/>
        </w:rPr>
        <w:t xml:space="preserve"> — Peer read-through: guidance, data-center tariff, non-utility exit, weather, rate cases.</w:t>
      </w:r>
    </w:p>
    <w:p>
      <w:pPr>
        <w:pStyle w:val="ListBullet"/>
        <w:ind w:left="360" w:hanging="360"/>
      </w:pPr>
      <w:r>
        <w:rPr>
          <w:rFonts w:ascii="Calibri" w:hAnsi="Calibri"/>
          <w:b/>
          <w:color w:val="525866"/>
          <w:sz w:val="22"/>
        </w:rPr>
        <w:t>DTE Energy Q2 2026 Earnings Call Transcript (July 28, 2026)</w:t>
      </w:r>
      <w:r>
        <w:rPr>
          <w:rFonts w:ascii="Calibri" w:hAnsi="Calibri"/>
          <w:color w:val="525866"/>
          <w:sz w:val="22"/>
        </w:rPr>
        <w:t xml:space="preserve"> — Peer read-through: guidance, data-center pipeline, counterparty risk, regulatory strategy, IRP.</w:t>
      </w:r>
    </w:p>
    <w:p>
      <w:pPr>
        <w:pStyle w:val="ListBullet"/>
        <w:ind w:left="360" w:hanging="360"/>
      </w:pPr>
      <w:r>
        <w:rPr>
          <w:rFonts w:ascii="Calibri" w:hAnsi="Calibri"/>
          <w:b/>
          <w:color w:val="525866"/>
          <w:sz w:val="22"/>
        </w:rPr>
        <w:t>Entergy Q2 2026 Earnings Call Transcript (July 29, 2026)</w:t>
      </w:r>
      <w:r>
        <w:rPr>
          <w:rFonts w:ascii="Calibri" w:hAnsi="Calibri"/>
          <w:color w:val="525866"/>
          <w:sz w:val="22"/>
        </w:rPr>
        <w:t xml:space="preserve"> — Peer read-through: guidance, data-center pipeline, regulatory mechanisms, financing.</w:t>
      </w:r>
    </w:p>
    <w:p>
      <w:pPr>
        <w:pStyle w:val="ListBullet"/>
        <w:ind w:left="360" w:hanging="360"/>
      </w:pPr>
      <w:r>
        <w:rPr>
          <w:rFonts w:ascii="Calibri" w:hAnsi="Calibri"/>
          <w:b/>
          <w:color w:val="525866"/>
          <w:sz w:val="22"/>
        </w:rPr>
        <w:t>CNBC Video — CEO Frenzel Interview (June 3, 2026)</w:t>
      </w:r>
      <w:r>
        <w:rPr>
          <w:rFonts w:ascii="Calibri" w:hAnsi="Calibri"/>
          <w:color w:val="525866"/>
          <w:sz w:val="22"/>
        </w:rPr>
        <w:t xml:space="preserve"> — $60B grid modernization commitment; Google ESA structure; customer affordability positioning.</w:t>
      </w:r>
    </w:p>
    <w:p>
      <w:r>
        <w:rPr>
          <w:rFonts w:ascii="Calibri" w:hAnsi="Calibri"/>
          <w:b/>
          <w:color w:val="525866"/>
          <w:sz w:val="22"/>
        </w:rPr>
        <w:t>Important Disclosures:</w:t>
      </w:r>
      <w:r>
        <w:rPr>
          <w:rFonts w:ascii="Calibri" w:hAnsi="Calibri"/>
          <w:color w:val="525866"/>
          <w:sz w:val="22"/>
        </w:rPr>
        <w:t xml:space="preserve"> This document is prepared for informational purposes only and does not constitute investment advice. All consensus estimates are sourced from Visible Alpha and reflect analyst expectations as of July 29, 2026. Actual results may differ materially from estimates. Regulatory outcomes, rate case decisions, and data-center contracting timelines are subject to change. Action dates and filing/disclosure dates for regulatory matters are separately identified throughout this document to distinguish when events occurred from when they were publicly disclosed.</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