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om-earnings-predictions--2026-07-31"/>
    <w:p>
      <w:pPr>
        <w:pStyle w:val="Heading1"/>
      </w:pPr>
      <w:r>
        <w:t xml:space="preserve">XOM Earnings Predictions — 2026-07-31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 (2Q26)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3.25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3.10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Energy Products (refining) segment earnings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3.0</m:t>
              </m:r>
              <m:r>
                <m:t>B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2.1B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upstream production (mmboe/d)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~4.52 vs. cons ~4.66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buyback program pace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20</m:t>
              </m:r>
              <m:r>
                <m:t>B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20B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capex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27</m:t>
              </m:r>
              <m:r>
                <m:rPr>
                  <m:sty m:val="p"/>
                </m:rPr>
                <m:t>−</m:t>
              </m:r>
              <m:r>
                <m:t>29</m:t>
              </m:r>
              <m:r>
                <m:t>B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28B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Qatar LNG outage / forward volume impact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~3% of production offline, 3-5yr repair vs. cons assuming ~1-2% near-term impact (FY2026-28)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Quarterly dividend declaration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1.03</m:t>
              </m:r>
              <m:r>
                <m:rPr>
                  <m:sty m:val="p"/>
                </m:rPr>
                <m:t>/</m:t>
              </m:r>
              <m:r>
                <m:t>q</m:t>
              </m:r>
              <m:r>
                <m:t>t</m:t>
              </m:r>
              <m:r>
                <m:t>r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1.03-1.05/qtr (3Q26)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Durability of windfall / normalization lag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~1-2 month flow-normalization lag once Hormuz reopens vs. cons pricing ~sustained premium (2H26)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-1.0% (FADE)</w:t>
            </w:r>
          </w:p>
        </w:tc>
        <w:tc>
          <w:tcPr/>
          <w:p>
            <w:pPr>
              <w:pStyle w:val="Compact"/>
            </w:pPr>
            <w:r>
              <w:t xml:space="preserve">A large beat is already expected, so the reported windfall (refining upside, doubled EPS) delivers only a modest day-1 pop, capped by the Qatar LNG volume miss and 'transient geopolitical rent' framing. Over the following days, out-period math dominates: sell-side treats the war premium as non-durable and trims forward realizations/volumes (Qatar ~3% offline for 3-5yrs, Hormuz-reopening/ceasefire headline risk), pulling estimates down even after the beat. Combined with high headline sensitivity to de-escalation, the initial gain fades and turns slightly negative.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2026-07-31T00:22:10Z</dcterms:created>
  <dcterms:modified xsi:type="dcterms:W3CDTF">2026-07-31T00:22:10Z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