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FirstParagraph"/>
      </w:pPr>
      <w:r>
        <w:t xml:space="preserve">I'll research XOM before writing the preview. Let me gather recent earnings, filings, news, and price data in parallel.Let me read the latest Q1 2026 earnings call transcript and check for any interim update 8-K, plus the year-ago Q2 2025 release for comparison.Let me pull the Q1 2026 and year-ago Q2 2025 earnings releases for the numbers, and check for any recent news on expectations.Let me pull the Q1 2026 earnings release for the most recent reported financials and capital-return pace.Let me grab the Q1 2026 earnings release for the most recent reported figures.# ExxonMobil (XOM) — 2Q 2026 Earnings Preview</w:t>
      </w:r>
    </w:p>
    <w:bookmarkStart w:id="9" w:name="Xe1093e3e13d0dfc502fe18bfd565736f98b9539"/>
    <w:p>
      <w:pPr>
        <w:pStyle w:val="Heading3"/>
      </w:pPr>
      <w:r>
        <w:t xml:space="preserve">Reports Friday, July 31, 2026 (pre-market) · Conference call 8:30 a.m. CT</w:t>
      </w:r>
    </w:p>
    <w:p>
      <w:r>
        <w:pict>
          <v:rect style="width:0;height:1.5pt" o:hralign="center" o:hrstd="t" o:hr="t"/>
        </w:pict>
      </w:r>
    </w:p>
    <w:bookmarkEnd w:id="9"/>
    <w:bookmarkStart w:id="10" w:name="the-one-line-setup"/>
    <w:p>
      <w:pPr>
        <w:pStyle w:val="Heading2"/>
      </w:pPr>
      <w:r>
        <w:t xml:space="preserve">The one-line setup</w:t>
      </w:r>
    </w:p>
    <w:p>
      <w:pPr>
        <w:pStyle w:val="FirstParagraph"/>
      </w:pPr>
      <w:r>
        <w:t xml:space="preserve">This is shaping up to be XOM's most important print in years — but for reasons largely outside its control. A months-long U.S.–Iran conflict has kept the</w:t>
      </w:r>
      <w:r>
        <w:t xml:space="preserve"> </w:t>
      </w:r>
      <w:r>
        <w:rPr>
          <w:b/>
          <w:bCs/>
        </w:rPr>
        <w:t xml:space="preserve">Strait of Hormuz effectively closed, with tanker traffic essentially halted through a waterway that normally carries more than a quarter of the world's crude</w:t>
      </w:r>
      <w:r>
        <w:t xml:space="preserve">. That has driven a spike in oil and refining margins into a quarter where Exxon happens to be running its upstream and downstream at record rates. The result: press reporting suggests XOM is</w:t>
      </w:r>
      <w:r>
        <w:t xml:space="preserve"> </w:t>
      </w:r>
      <w:r>
        <w:rPr>
          <w:b/>
          <w:bCs/>
        </w:rPr>
        <w:t xml:space="preserve">on track to more than double its year-ago Q2 earnings and post its strongest earnings and free cash flow since 2022, with the windfall driven mostly by the war</w:t>
      </w:r>
      <w:r>
        <w:t xml:space="preserve">. The debate for investors is less "will it be a big number" and more "how durable is it, and what does Exxon do with the cash?"</w:t>
      </w:r>
    </w:p>
    <w:p>
      <w:r>
        <w:pict>
          <v:rect style="width:0;height:1.5pt" o:hralign="center" o:hrstd="t" o:hr="t"/>
        </w:pict>
      </w:r>
    </w:p>
    <w:bookmarkEnd w:id="10"/>
    <w:bookmarkStart w:id="11" w:name="X393c7064a7b167869d999871dace2d605a3706b"/>
    <w:p>
      <w:pPr>
        <w:pStyle w:val="Heading2"/>
      </w:pPr>
      <w:r>
        <w:t xml:space="preserve">What the number is being measured against</w:t>
      </w:r>
    </w:p>
    <w:p>
      <w:pPr>
        <w:pStyle w:val="FirstParagraph"/>
      </w:pPr>
      <w:r>
        <w:rPr>
          <w:b/>
          <w:bCs/>
        </w:rPr>
        <w:t xml:space="preserve">Year-ago base (2Q25):</w:t>
      </w:r>
      <w:r>
        <w:t xml:space="preserve"> </w:t>
      </w:r>
      <w:r>
        <w:t xml:space="preserve">Exxon earned</w:t>
      </w:r>
      <w:r>
        <w:t xml:space="preserve"> </w:t>
      </w:r>
      <w:r>
        <w:rPr>
          <w:b/>
          <w:bCs/>
        </w:rPr>
        <w:t xml:space="preserve">$7.1 billion, or $1.64/share</w:t>
      </w:r>
      <w:r>
        <w:t xml:space="preserve">, on cash flow from operations of $11.5B and free cash flow of $5.4B, and returned</w:t>
      </w:r>
      <w:r>
        <w:t xml:space="preserve"> </w:t>
      </w:r>
      <m:oMath>
        <m:r>
          <m:t>9.2</m:t>
        </m:r>
        <m:r>
          <m:t>B</m:t>
        </m:r>
        <m:r>
          <m:t>t</m:t>
        </m:r>
        <m:r>
          <m:t>o</m:t>
        </m:r>
        <m:r>
          <m:t>s</m:t>
        </m:r>
        <m:r>
          <m:t>h</m:t>
        </m:r>
        <m:r>
          <m:t>a</m:t>
        </m:r>
        <m:r>
          <m:t>r</m:t>
        </m:r>
        <m:r>
          <m:t>e</m:t>
        </m:r>
        <m:r>
          <m:t>h</m:t>
        </m:r>
        <m:r>
          <m:t>o</m:t>
        </m:r>
        <m:r>
          <m:t>l</m:t>
        </m:r>
        <m:r>
          <m:t>d</m:t>
        </m:r>
        <m:r>
          <m:t>e</m:t>
        </m:r>
        <m:r>
          <m:t>r</m:t>
        </m:r>
        <m:r>
          <m:t>s</m:t>
        </m:r>
        <m:r>
          <m:rPr>
            <m:sty m:val="p"/>
          </m:rPr>
          <m:t>(</m:t>
        </m:r>
      </m:oMath>
      <w:r>
        <w:t xml:space="preserve">4.3B dividends + $5.0B buybacks). Upstream production was 4.63 mmboe/d (highest 2Q since the Exxon–Mobil merger), including record Permian output of 1.6 mmboe/d.</w:t>
      </w:r>
    </w:p>
    <w:p>
      <w:pPr>
        <w:pStyle w:val="BodyText"/>
      </w:pPr>
      <w:r>
        <w:t xml:space="preserve">If the "more than double" framing in the press holds, that points to a Q2 EPS in the low-$3s and net income well north of $14B — but treat any precise consensus figure with caution given how much of the beat/miss will hinge on volatile crude marks and Exxon's trading timing effects (more below).</w:t>
      </w:r>
    </w:p>
    <w:p>
      <w:pPr>
        <w:pStyle w:val="BodyText"/>
      </w:pPr>
      <w:r>
        <w:rPr>
          <w:b/>
          <w:bCs/>
        </w:rPr>
        <w:t xml:space="preserve">Recent trajectory for context:</w:t>
      </w:r>
      <w:r>
        <w:t xml:space="preserve"> </w:t>
      </w:r>
      <w:r>
        <w:t xml:space="preserve">| Period | GAAP EPS | GAAP earnings |</w:t>
      </w:r>
      <w:r>
        <w:t xml:space="preserve"> </w:t>
      </w:r>
      <w:r>
        <w:t xml:space="preserve">|---|---|---|</w:t>
      </w:r>
      <w:r>
        <w:t xml:space="preserve"> </w:t>
      </w:r>
      <w:r>
        <w:t xml:space="preserve">| 2Q25 | $1.64 | $7.1B |</w:t>
      </w:r>
      <w:r>
        <w:t xml:space="preserve"> </w:t>
      </w:r>
      <w:r>
        <w:t xml:space="preserve">| 3Q25 | $1.76 | $7.5B |</w:t>
      </w:r>
      <w:r>
        <w:t xml:space="preserve"> </w:t>
      </w:r>
      <w:r>
        <w:t xml:space="preserve">| 4Q25 |</w:t>
      </w:r>
      <w:r>
        <w:t xml:space="preserve"> </w:t>
      </w:r>
      <m:oMath>
        <m:r>
          <m:t>1.53</m:t>
        </m:r>
        <m:r>
          <m:rPr>
            <m:sty m:val="p"/>
          </m:rPr>
          <m:t>(</m:t>
        </m:r>
      </m:oMath>
      <w:r>
        <w:t xml:space="preserve">1.71 ex-items) | $6.5B |</w:t>
      </w:r>
      <w:r>
        <w:t xml:space="preserve"> </w:t>
      </w:r>
      <w:r>
        <w:t xml:space="preserve">| FY2025 |</w:t>
      </w:r>
      <w:r>
        <w:t xml:space="preserve"> </w:t>
      </w:r>
      <m:oMath>
        <m:r>
          <m:t>6.70</m:t>
        </m:r>
        <m:r>
          <m:rPr>
            <m:sty m:val="p"/>
          </m:rPr>
          <m:t>(</m:t>
        </m:r>
      </m:oMath>
      <w:r>
        <w:t xml:space="preserve">6.99 ex-items) | $28.8B |</w:t>
      </w:r>
    </w:p>
    <w:p>
      <w:pPr>
        <w:pStyle w:val="BodyText"/>
      </w:pPr>
      <w:r>
        <w:t xml:space="preserve">FY2025 generated $52.0B of operating cash flow and $26.1B of free cash flow, funding a record</w:t>
      </w:r>
      <w:r>
        <w:t xml:space="preserve"> </w:t>
      </w:r>
      <m:oMath>
        <m:r>
          <m:t>37.2</m:t>
        </m:r>
        <m:r>
          <m:t>B</m:t>
        </m:r>
        <m:r>
          <m:t>o</m:t>
        </m:r>
        <m:r>
          <m:t>f</m:t>
        </m:r>
        <m:r>
          <m:t>s</m:t>
        </m:r>
        <m:r>
          <m:t>h</m:t>
        </m:r>
        <m:r>
          <m:t>a</m:t>
        </m:r>
        <m:r>
          <m:t>r</m:t>
        </m:r>
        <m:r>
          <m:t>e</m:t>
        </m:r>
        <m:r>
          <m:t>h</m:t>
        </m:r>
        <m:r>
          <m:t>o</m:t>
        </m:r>
        <m:r>
          <m:t>l</m:t>
        </m:r>
        <m:r>
          <m:t>d</m:t>
        </m:r>
        <m:r>
          <m:t>e</m:t>
        </m:r>
        <m:r>
          <m:t>r</m:t>
        </m:r>
        <m:r>
          <m:t>d</m:t>
        </m:r>
        <m:r>
          <m:t>i</m:t>
        </m:r>
        <m:r>
          <m:t>s</m:t>
        </m:r>
        <m:r>
          <m:t>t</m:t>
        </m:r>
        <m:r>
          <m:t>r</m:t>
        </m:r>
        <m:r>
          <m:t>i</m:t>
        </m:r>
        <m:r>
          <m:t>b</m:t>
        </m:r>
        <m:r>
          <m:t>u</m:t>
        </m:r>
        <m:r>
          <m:t>t</m:t>
        </m:r>
        <m:r>
          <m:t>i</m:t>
        </m:r>
        <m:r>
          <m:t>o</m:t>
        </m:r>
        <m:r>
          <m:t>n</m:t>
        </m:r>
        <m:r>
          <m:t>s</m:t>
        </m:r>
        <m:r>
          <m:rPr>
            <m:sty m:val="p"/>
          </m:rPr>
          <m:t>(</m:t>
        </m:r>
      </m:oMath>
      <w:r>
        <w:t xml:space="preserve">17.2B dividends + $20.0B buybacks). The company entered 2026 with net-debt-to-capital of ~11% and a plan for $27–29B of capex and $20B of buybacks in 2026.</w:t>
      </w:r>
    </w:p>
    <w:p>
      <w:r>
        <w:pict>
          <v:rect style="width:0;height:1.5pt" o:hralign="center" o:hrstd="t" o:hr="t"/>
        </w:pict>
      </w:r>
    </w:p>
    <w:bookmarkEnd w:id="11"/>
    <w:bookmarkStart w:id="12" w:name="whats-driving-the-quarter"/>
    <w:p>
      <w:pPr>
        <w:pStyle w:val="Heading2"/>
      </w:pPr>
      <w:r>
        <w:t xml:space="preserve">What's driving the quarter</w:t>
      </w:r>
    </w:p>
    <w:p>
      <w:pPr>
        <w:pStyle w:val="FirstParagraph"/>
      </w:pPr>
      <w:r>
        <w:rPr>
          <w:b/>
          <w:bCs/>
        </w:rPr>
        <w:t xml:space="preserve">1. Crude leverage into a supply shock.</w:t>
      </w:r>
      <w:r>
        <w:t xml:space="preserve"> </w:t>
      </w:r>
      <w:r>
        <w:t xml:space="preserve">Brent has whipsawed violently on headlines — trading in a rough</w:t>
      </w:r>
      <w:r>
        <w:t xml:space="preserve"> </w:t>
      </w:r>
      <w:r>
        <w:rPr>
          <w:b/>
          <w:bCs/>
        </w:rPr>
        <w:t xml:space="preserve">$85–95+ band</w:t>
      </w:r>
      <w:r>
        <w:t xml:space="preserve"> </w:t>
      </w:r>
      <w:r>
        <w:t xml:space="preserve">through July, briefly spiking toward $95 on renewed strikes, then selling off ~5% on ceasefire hopes, then reversing again after missile exchanges. Every escalation lifts XOM's realizations; every de-escalation headline pressures the stock. This is the single biggest swing factor.</w:t>
      </w:r>
    </w:p>
    <w:p>
      <w:pPr>
        <w:pStyle w:val="BodyText"/>
      </w:pPr>
      <w:r>
        <w:rPr>
          <w:b/>
          <w:bCs/>
        </w:rPr>
        <w:t xml:space="preserve">2. Refining is the sleeper strength.</w:t>
      </w:r>
      <w:r>
        <w:t xml:space="preserve"> </w:t>
      </w:r>
      <w:r>
        <w:t xml:space="preserve">With Middle East barrels stranded, product markets have tightened sharply. On the Q1 call, management flagged that it pushed Gulf Coast refineries to</w:t>
      </w:r>
      <w:r>
        <w:t xml:space="preserve"> </w:t>
      </w:r>
      <w:r>
        <w:rPr>
          <w:b/>
          <w:bCs/>
        </w:rPr>
        <w:t xml:space="preserve">record utilization</w:t>
      </w:r>
      <w:r>
        <w:t xml:space="preserve"> </w:t>
      </w:r>
      <w:r>
        <w:t xml:space="preserve">and physically added ~200 kbd of throughput between February and March by expediting turnarounds — "the equivalent of a mid-sized refinery." A North America–weighted, low-cost refining footprint (Beaumont expansion, Singapore Resid Upgrade, Fawley, Strathcona) should let Energy Products capture outsized cracks. Watch this segment closely — it may surprise to the upside. The White House is reportedly even trying to reopen shuttered refineries to combat high pump prices, underscoring how tight product markets are.</w:t>
      </w:r>
    </w:p>
    <w:p>
      <w:pPr>
        <w:pStyle w:val="BodyText"/>
      </w:pPr>
      <w:r>
        <w:rPr>
          <w:b/>
          <w:bCs/>
        </w:rPr>
        <w:t xml:space="preserve">3. Trading/optimization.</w:t>
      </w:r>
      <w:r>
        <w:t xml:space="preserve"> </w:t>
      </w:r>
      <w:r>
        <w:t xml:space="preserve">Exxon's built-out trading desk has been rerouting Gulf Coast barrels to Asia to fill supply gaps. Management framed this as a clear advantage in a dislocated market.</w:t>
      </w:r>
    </w:p>
    <w:p>
      <w:pPr>
        <w:pStyle w:val="BodyText"/>
      </w:pPr>
      <w:r>
        <w:rPr>
          <w:b/>
          <w:bCs/>
        </w:rPr>
        <w:t xml:space="preserve">4. Advantaged volume growth continues.</w:t>
      </w:r>
      <w:r>
        <w:t xml:space="preserve"> </w:t>
      </w:r>
      <w:r>
        <w:t xml:space="preserve">Permian is on track to grow to</w:t>
      </w:r>
      <w:r>
        <w:t xml:space="preserve"> </w:t>
      </w:r>
      <w:r>
        <w:rPr>
          <w:b/>
          <w:bCs/>
        </w:rPr>
        <w:t xml:space="preserve">1.8 mmboe/d in 2026</w:t>
      </w:r>
      <w:r>
        <w:t xml:space="preserve">; Guyana set records (approaching ~875 kbd gross by 4Q25 with Uaru first oil expected late 2026); and</w:t>
      </w:r>
      <w:r>
        <w:t xml:space="preserve"> </w:t>
      </w:r>
      <w:r>
        <w:rPr>
          <w:b/>
          <w:bCs/>
        </w:rPr>
        <w:t xml:space="preserve">Golden Pass LNG Train 1 achieved first LNG in March</w:t>
      </w:r>
      <w:r>
        <w:t xml:space="preserve">, adding U.S. export capacity right as the market tightened. Ex-external disruptions, management said Q1 upstream production was up ~8% year-over-year.</w:t>
      </w:r>
    </w:p>
    <w:p>
      <w:r>
        <w:pict>
          <v:rect style="width:0;height:1.5pt" o:hralign="center" o:hrstd="t" o:hr="t"/>
        </w:pict>
      </w:r>
    </w:p>
    <w:bookmarkEnd w:id="12"/>
    <w:bookmarkStart w:id="13" w:name="the-key-offsets-and-watch-items"/>
    <w:p>
      <w:pPr>
        <w:pStyle w:val="Heading2"/>
      </w:pPr>
      <w:r>
        <w:t xml:space="preserve">The key offsets and watch-items</w:t>
      </w:r>
    </w:p>
    <w:p>
      <w:pPr>
        <w:pStyle w:val="FirstParagraph"/>
      </w:pPr>
      <w:r>
        <w:rPr>
          <w:b/>
          <w:bCs/>
        </w:rPr>
        <w:t xml:space="preserve">⚠️ Qatar LNG damage.</w:t>
      </w:r>
      <w:r>
        <w:t xml:space="preserve"> </w:t>
      </w:r>
      <w:r>
        <w:t xml:space="preserve">Two LNG trains Exxon co-owns with QatarEnergy were</w:t>
      </w:r>
      <w:r>
        <w:t xml:space="preserve"> </w:t>
      </w:r>
      <w:r>
        <w:rPr>
          <w:b/>
          <w:bCs/>
        </w:rPr>
        <w:t xml:space="preserve">damaged in the conflict, taking ~3% of Exxon's global production offline, with QatarEnergy citing a 3–5 year repair timeline</w:t>
      </w:r>
      <w:r>
        <w:t xml:space="preserve"> </w:t>
      </w:r>
      <w:r>
        <w:t xml:space="preserve">(cold-box lead times are the critical path). Investors will want an updated damage assessment, an insurance read (Exxon is largely self-insured but has third-party coverage; management said no material insurance hit expected), and clarity on how repair costs/contract terms get structured. This is a real volume and earnings headwind that partially offsets the price windfall.</w:t>
      </w:r>
    </w:p>
    <w:p>
      <w:pPr>
        <w:pStyle w:val="BodyText"/>
      </w:pPr>
      <w:r>
        <w:rPr>
          <w:b/>
          <w:bCs/>
        </w:rPr>
        <w:t xml:space="preserve">⚠️ Timing effects could distort the headline.</w:t>
      </w:r>
      <w:r>
        <w:t xml:space="preserve"> </w:t>
      </w:r>
      <w:r>
        <w:t xml:space="preserve">Exxon is structurally</w:t>
      </w:r>
      <w:r>
        <w:t xml:space="preserve"> </w:t>
      </w:r>
      <w:r>
        <w:rPr>
          <w:b/>
          <w:bCs/>
        </w:rPr>
        <w:t xml:space="preserve">long physical, short paper</w:t>
      </w:r>
      <w:r>
        <w:t xml:space="preserve">, so in a rising-price quarter mark-to-market</w:t>
      </w:r>
      <w:r>
        <w:t xml:space="preserve"> </w:t>
      </w:r>
      <w:r>
        <w:rPr>
          <w:b/>
          <w:bCs/>
        </w:rPr>
        <w:t xml:space="preserve">timing effects are typically negative</w:t>
      </w:r>
      <w:r>
        <w:t xml:space="preserve"> </w:t>
      </w:r>
      <w:r>
        <w:t xml:space="preserve">and reverse later. Q1 2026 already carried negative timing effects plus an identified-item "naked hedge" loss when physical barrels weren't delivered due to the disruption. Expect management to again steer you to earnings "excluding identified items and timing effects" — the gap between GAAP and "underlying" could be large this quarter, and the market reaction may hinge on which one screens.</w:t>
      </w:r>
    </w:p>
    <w:p>
      <w:pPr>
        <w:pStyle w:val="BodyText"/>
      </w:pPr>
      <w:r>
        <w:rPr>
          <w:b/>
          <w:bCs/>
        </w:rPr>
        <w:t xml:space="preserve">⚠️ Other operational disruptions.</w:t>
      </w:r>
      <w:r>
        <w:t xml:space="preserve"> </w:t>
      </w:r>
      <w:r>
        <w:t xml:space="preserve">Q1 also absorbed Kazakhstan drone-attack impacts and a January Permian winter storm; watch for any lingering Q2 effects. Chemicals remains the weak segment (4Q25 posted a small loss ex-items), though a U.S. gas-cracker feed advantage should help if crude stays elevated.</w:t>
      </w:r>
    </w:p>
    <w:p>
      <w:r>
        <w:pict>
          <v:rect style="width:0;height:1.5pt" o:hralign="center" o:hrstd="t" o:hr="t"/>
        </w:pict>
      </w:r>
    </w:p>
    <w:bookmarkEnd w:id="13"/>
    <w:bookmarkStart w:id="14" w:name="capital-allocation--the-real-focus"/>
    <w:p>
      <w:pPr>
        <w:pStyle w:val="Heading2"/>
      </w:pPr>
      <w:r>
        <w:t xml:space="preserve">Capital allocation — the real focus</w:t>
      </w:r>
    </w:p>
    <w:p>
      <w:pPr>
        <w:pStyle w:val="FirstParagraph"/>
      </w:pPr>
      <w:r>
        <w:t xml:space="preserve">With the strongest cash generation since 2022 landing in the quarter, the central question is</w:t>
      </w:r>
      <w:r>
        <w:t xml:space="preserve"> </w:t>
      </w:r>
      <w:r>
        <w:rPr>
          <w:b/>
          <w:bCs/>
        </w:rPr>
        <w:t xml:space="preserve">what Exxon does with the windfall</w:t>
      </w:r>
      <w:r>
        <w:t xml:space="preserve">. Key things to listen for:</w:t>
      </w:r>
    </w:p>
    <w:p>
      <w:pPr>
        <w:pStyle w:val="Compact"/>
        <w:numPr>
          <w:ilvl w:val="0"/>
          <w:numId w:val="1001"/>
        </w:numPr>
      </w:pPr>
      <w:r>
        <w:rPr>
          <w:b/>
          <w:bCs/>
        </w:rPr>
        <w:t xml:space="preserve">Buyback pace:</w:t>
      </w:r>
      <w:r>
        <w:t xml:space="preserve"> </w:t>
      </w:r>
      <w:r>
        <w:t xml:space="preserve">Does management reaffirm or</w:t>
      </w:r>
      <w:r>
        <w:t xml:space="preserve"> </w:t>
      </w:r>
      <w:r>
        <w:rPr>
          <w:i/>
          <w:iCs/>
        </w:rPr>
        <w:t xml:space="preserve">accelerate</w:t>
      </w:r>
      <w:r>
        <w:t xml:space="preserve"> </w:t>
      </w:r>
      <w:r>
        <w:t xml:space="preserve">the $20B/year program? A windfall quarter with a low-11% net-debt/cap balance sheet gives it room.</w:t>
      </w:r>
    </w:p>
    <w:p>
      <w:pPr>
        <w:pStyle w:val="Compact"/>
        <w:numPr>
          <w:ilvl w:val="0"/>
          <w:numId w:val="1001"/>
        </w:numPr>
      </w:pPr>
      <w:r>
        <w:rPr>
          <w:b/>
          <w:bCs/>
        </w:rPr>
        <w:t xml:space="preserve">Dividend:</w:t>
      </w:r>
      <w:r>
        <w:t xml:space="preserve"> </w:t>
      </w:r>
      <w:r>
        <w:t xml:space="preserve">Currently $1.03/quarter, with 43 consecutive years of dividend growth — a Q3 declaration is likely on this call.</w:t>
      </w:r>
    </w:p>
    <w:p>
      <w:pPr>
        <w:pStyle w:val="Compact"/>
        <w:numPr>
          <w:ilvl w:val="0"/>
          <w:numId w:val="1001"/>
        </w:numPr>
      </w:pPr>
      <w:r>
        <w:rPr>
          <w:b/>
          <w:bCs/>
        </w:rPr>
        <w:t xml:space="preserve">Capex discipline:</w:t>
      </w:r>
      <w:r>
        <w:t xml:space="preserve"> </w:t>
      </w:r>
      <w:r>
        <w:t xml:space="preserve">Any signal on leaning into Permian, Golden Pass Trains 2/3 (mechanical completion end-2026 / 2Q27), or pulling forward FIDs on Mozambique and Papua New Guinea LNG. Management has been adamant it won't chase price-cycle volume.</w:t>
      </w:r>
    </w:p>
    <w:p>
      <w:pPr>
        <w:pStyle w:val="FirstParagraph"/>
      </w:pPr>
      <w:r>
        <w:t xml:space="preserve">Note also the</w:t>
      </w:r>
      <w:r>
        <w:t xml:space="preserve"> </w:t>
      </w:r>
      <w:r>
        <w:rPr>
          <w:b/>
          <w:bCs/>
        </w:rPr>
        <w:t xml:space="preserve">corporate structure change</w:t>
      </w:r>
      <w:r>
        <w:t xml:space="preserve">: Exxon completed its redomiciliation on July 1, 2026, with a new holding company now trading as XOM — a housekeeping item but worth being aware of.</w:t>
      </w:r>
    </w:p>
    <w:p>
      <w:r>
        <w:pict>
          <v:rect style="width:0;height:1.5pt" o:hralign="center" o:hrstd="t" o:hr="t"/>
        </w:pict>
      </w:r>
    </w:p>
    <w:bookmarkEnd w:id="14"/>
    <w:bookmarkStart w:id="15" w:name="stock--positioning"/>
    <w:p>
      <w:pPr>
        <w:pStyle w:val="Heading2"/>
      </w:pPr>
      <w:r>
        <w:t xml:space="preserve">Stock &amp; positioning</w:t>
      </w:r>
    </w:p>
    <w:p>
      <w:pPr>
        <w:pStyle w:val="FirstParagraph"/>
      </w:pPr>
      <w:r>
        <w:t xml:space="preserve">XOM has ridden the oil rally hard: shares closed **~</w:t>
      </w:r>
      <m:oMath>
        <m:r>
          <m:t>157</m:t>
        </m:r>
        <m:r>
          <m:t>o</m:t>
        </m:r>
        <m:r>
          <m:t>n</m:t>
        </m:r>
        <m:r>
          <m:t>J</m:t>
        </m:r>
        <m:r>
          <m:t>u</m:t>
        </m:r>
        <m:r>
          <m:t>l</m:t>
        </m:r>
        <m:r>
          <m:t>y</m:t>
        </m:r>
        <m:r>
          <m:t>30</m:t>
        </m:r>
        <m:r>
          <m:rPr>
            <m:sty m:val="p"/>
          </m:rPr>
          <m:t>,</m:t>
        </m:r>
        <m:r>
          <m:t>u</m:t>
        </m:r>
        <m:r>
          <m:t>p</m:t>
        </m:r>
        <m:r>
          <m:t>r</m:t>
        </m:r>
        <m:r>
          <m:t>o</m:t>
        </m:r>
        <m:r>
          <m:t>u</m:t>
        </m:r>
        <m:r>
          <m:t>g</m:t>
        </m:r>
        <m:r>
          <m:t>h</m:t>
        </m:r>
        <m:r>
          <m:t>l</m:t>
        </m:r>
        <m:r>
          <m:t>y</m:t>
        </m:r>
        <m:r>
          <m:t>28</m:t>
        </m:r>
      </m:oMath>
      <w:r>
        <w:t xml:space="preserve">123, and have been extremely headline-sensitive — rallying on strikes/Hormuz-closure news and selling off sharply (down ~3% in a session) whenever a ceasefire looks plausible. Chevron (CVX ~$192) and the XLE energy ETF have moved in tandem.</w:t>
      </w:r>
    </w:p>
    <w:p>
      <w:pPr>
        <w:pStyle w:val="BodyText"/>
      </w:pPr>
      <w:r>
        <w:rPr>
          <w:b/>
          <w:bCs/>
        </w:rPr>
        <w:t xml:space="preserve">The asymmetry going in:</w:t>
      </w:r>
      <w:r>
        <w:t xml:space="preserve"> </w:t>
      </w:r>
      <w:r>
        <w:t xml:space="preserve">a big reported beat is arguably</w:t>
      </w:r>
      <w:r>
        <w:t xml:space="preserve"> </w:t>
      </w:r>
      <w:r>
        <w:rPr>
          <w:i/>
          <w:iCs/>
        </w:rPr>
        <w:t xml:space="preserve">expected</w:t>
      </w:r>
      <w:r>
        <w:t xml:space="preserve">, so the bar is high. The more interesting risk is that the entire windfall is viewed as</w:t>
      </w:r>
      <w:r>
        <w:t xml:space="preserve"> </w:t>
      </w:r>
      <w:r>
        <w:rPr>
          <w:b/>
          <w:bCs/>
        </w:rPr>
        <w:t xml:space="preserve">transient geopolitical rent</w:t>
      </w:r>
      <w:r>
        <w:t xml:space="preserve"> </w:t>
      </w:r>
      <w:r>
        <w:t xml:space="preserve">— if the Strait reopens, management itself flagged a 1–2 month lag before flows normalize, and prices could unwind quickly. That makes the</w:t>
      </w:r>
      <w:r>
        <w:t xml:space="preserve"> </w:t>
      </w:r>
      <w:r>
        <w:rPr>
          <w:i/>
          <w:iCs/>
        </w:rPr>
        <w:t xml:space="preserve">quality and durability</w:t>
      </w:r>
      <w:r>
        <w:t xml:space="preserve"> </w:t>
      </w:r>
      <w:r>
        <w:t xml:space="preserve">commentary (structural cost savings, advantaged-asset volume growth, refining footprint) and the</w:t>
      </w:r>
      <w:r>
        <w:t xml:space="preserve"> </w:t>
      </w:r>
      <w:r>
        <w:rPr>
          <w:i/>
          <w:iCs/>
        </w:rPr>
        <w:t xml:space="preserve">capital-return response</w:t>
      </w:r>
      <w:r>
        <w:t xml:space="preserve"> </w:t>
      </w:r>
      <w:r>
        <w:t xml:space="preserve">more important to the stock than the headline EPS.</w:t>
      </w:r>
    </w:p>
    <w:p>
      <w:r>
        <w:pict>
          <v:rect style="width:0;height:1.5pt" o:hralign="center" o:hrstd="t" o:hr="t"/>
        </w:pict>
      </w:r>
    </w:p>
    <w:bookmarkEnd w:id="15"/>
    <w:bookmarkStart w:id="16" w:name="checklist-for-the-call"/>
    <w:p>
      <w:pPr>
        <w:pStyle w:val="Heading2"/>
      </w:pPr>
      <w:r>
        <w:t xml:space="preserve">Checklist for the call</w:t>
      </w:r>
    </w:p>
    <w:p>
      <w:pPr>
        <w:pStyle w:val="Compact"/>
        <w:numPr>
          <w:ilvl w:val="0"/>
          <w:numId w:val="1002"/>
        </w:numPr>
      </w:pPr>
      <w:r>
        <w:rPr>
          <w:b/>
          <w:bCs/>
        </w:rPr>
        <w:t xml:space="preserve">Underlying vs. GAAP EPS</w:t>
      </w:r>
      <w:r>
        <w:t xml:space="preserve"> </w:t>
      </w:r>
      <w:r>
        <w:t xml:space="preserve">— size of negative timing effects and any identified items.</w:t>
      </w:r>
    </w:p>
    <w:p>
      <w:pPr>
        <w:pStyle w:val="Compact"/>
        <w:numPr>
          <w:ilvl w:val="0"/>
          <w:numId w:val="1002"/>
        </w:numPr>
      </w:pPr>
      <w:r>
        <w:rPr>
          <w:b/>
          <w:bCs/>
        </w:rPr>
        <w:t xml:space="preserve">Energy Products (refining) earnings</w:t>
      </w:r>
      <w:r>
        <w:t xml:space="preserve"> </w:t>
      </w:r>
      <w:r>
        <w:t xml:space="preserve">— the potential upside surprise.</w:t>
      </w:r>
    </w:p>
    <w:p>
      <w:pPr>
        <w:pStyle w:val="Compact"/>
        <w:numPr>
          <w:ilvl w:val="0"/>
          <w:numId w:val="1002"/>
        </w:numPr>
      </w:pPr>
      <w:r>
        <w:rPr>
          <w:b/>
          <w:bCs/>
        </w:rPr>
        <w:t xml:space="preserve">Qatar LNG</w:t>
      </w:r>
      <w:r>
        <w:t xml:space="preserve"> </w:t>
      </w:r>
      <w:r>
        <w:t xml:space="preserve">— updated repair timeline, cost, insurance, contract treatment.</w:t>
      </w:r>
    </w:p>
    <w:p>
      <w:pPr>
        <w:pStyle w:val="Compact"/>
        <w:numPr>
          <w:ilvl w:val="0"/>
          <w:numId w:val="1002"/>
        </w:numPr>
      </w:pPr>
      <w:r>
        <w:rPr>
          <w:b/>
          <w:bCs/>
        </w:rPr>
        <w:t xml:space="preserve">Buyback</w:t>
      </w:r>
      <w:r>
        <w:t xml:space="preserve"> </w:t>
      </w:r>
      <w:r>
        <w:t xml:space="preserve">— any acceleration of the $20B program given the cash windfall.</w:t>
      </w:r>
    </w:p>
    <w:p>
      <w:pPr>
        <w:pStyle w:val="Compact"/>
        <w:numPr>
          <w:ilvl w:val="0"/>
          <w:numId w:val="1002"/>
        </w:numPr>
      </w:pPr>
      <w:r>
        <w:rPr>
          <w:b/>
          <w:bCs/>
        </w:rPr>
        <w:t xml:space="preserve">Production bridge</w:t>
      </w:r>
      <w:r>
        <w:t xml:space="preserve"> </w:t>
      </w:r>
      <w:r>
        <w:t xml:space="preserve">— Permian 1.8 mmboe/d track, Guyana/Golden Pass ramp vs. Qatar/Kazakhstan outages.</w:t>
      </w:r>
    </w:p>
    <w:p>
      <w:pPr>
        <w:pStyle w:val="Compact"/>
        <w:numPr>
          <w:ilvl w:val="0"/>
          <w:numId w:val="1002"/>
        </w:numPr>
      </w:pPr>
      <w:r>
        <w:rPr>
          <w:b/>
          <w:bCs/>
        </w:rPr>
        <w:t xml:space="preserve">Management's view on normalization</w:t>
      </w:r>
      <w:r>
        <w:t xml:space="preserve"> </w:t>
      </w:r>
      <w:r>
        <w:t xml:space="preserve">— how much of the quarter they characterize as sustainable vs. war-driven.</w:t>
      </w:r>
    </w:p>
    <w:p>
      <w:pPr>
        <w:pStyle w:val="FirstParagraph"/>
      </w:pPr>
      <w:r>
        <w:rPr>
          <w:i/>
          <w:iCs/>
        </w:rPr>
        <w:t xml:space="preserve">Preview based on ExxonMobil's 2Q25 and FY2025 earnings releases, its 1Q26 earnings call (May 1, 2026), recent news flow, and market data through July 30, 2026. Figures such as "more than double year-ago earnings" reflect press reporting/market expectations, not company guidance.</w:t>
      </w:r>
    </w:p>
    <w:bookmarkEnd w:id="16"/>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2026-07-31T00:22:09Z</dcterms:created>
  <dcterms:modified xsi:type="dcterms:W3CDTF">2026-07-31T00:22:09Z</dcterms:modified>
</cp:coreProperties>
</file>

<file path=docProps/custom.xml><?xml version="1.0" encoding="utf-8"?>
<Properties xmlns="http://schemas.openxmlformats.org/officeDocument/2006/custom-properties" xmlns:vt="http://schemas.openxmlformats.org/officeDocument/2006/docPropsVTypes"/>
</file>