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om-earnings-predictions--2026-07-31"/>
    <w:p>
      <w:pPr>
        <w:pStyle w:val="Heading1"/>
      </w:pPr>
      <w:r>
        <w:t xml:space="preserve">XOM Earnings Predictions — 2026-07-31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~$3.95 vs. cons $3.78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Revenue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~$98.0B vs. cons $97.5B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Downstream/Chemical Segment Earnings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~$2.1B vs. cons $2.4B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Capex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~$28B vs. cons $28B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Q3 2026 Buyback Pace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~$5.5B vs. cons $5.0B (Q3 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Qatar LNG Train Repair Timeline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~4 years vs. cons 3-5 years (multi-year, through ~2029-2031)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-0.8%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-1.6% (FADE)</w:t>
            </w:r>
          </w:p>
        </w:tc>
        <w:tc>
          <w:tcPr/>
          <w:p>
            <w:pPr>
              <w:pStyle w:val="Compact"/>
            </w:pPr>
            <w:r>
              <w:t xml:space="preserve">Most of the ~$4B sequential upstream beat and $3.3B refining/chem gain was pre-announced on July 7, so the headline print is largely priced in; with Brent having already round-tripped intra-quarter (spiking to $109 then falling to $87) and management likely framing the Iran premium as transitory, sell-side models are likely to trim H2 2026/2027 out-period Brent and refining margin assumptions even after a Q2 beat, pulling forward EPS revisions down and fading any initial pop (or deepening any initial dip) over the following days.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2026-07-31T00:23:02Z</dcterms:created>
  <dcterms:modified xsi:type="dcterms:W3CDTF">2026-07-31T00:23:02Z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