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exxonmobil-xom-q2-2026-earnings-preview"/>
    <w:p>
      <w:pPr>
        <w:pStyle w:val="Heading1"/>
      </w:pPr>
      <w:r>
        <w:t xml:space="preserve">ExxonMobil (XOM) Q2 2026 Earnings Preview</w:t>
      </w:r>
    </w:p>
    <w:p>
      <w:pPr>
        <w:pStyle w:val="FirstParagraph"/>
      </w:pPr>
      <w:r>
        <w:rPr>
          <w:b/>
          <w:bCs/>
        </w:rPr>
        <w:t xml:space="preserve">Report Date:</w:t>
      </w:r>
      <w:r>
        <w:t xml:space="preserve"> </w:t>
      </w:r>
      <w:r>
        <w:t xml:space="preserve">July 31, 2026 (before market open) |</w:t>
      </w:r>
      <w:r>
        <w:t xml:space="preserve"> </w:t>
      </w:r>
      <w:r>
        <w:rPr>
          <w:b/>
          <w:bCs/>
        </w:rPr>
        <w:t xml:space="preserve">Current Price:</w:t>
      </w:r>
      <w:r>
        <w:t xml:space="preserve"> </w:t>
      </w:r>
      <w:r>
        <w:t xml:space="preserve">~$157 |</w:t>
      </w:r>
      <w:r>
        <w:t xml:space="preserve"> </w:t>
      </w:r>
      <w:r>
        <w:rPr>
          <w:b/>
          <w:bCs/>
        </w:rPr>
        <w:t xml:space="preserve">Event:</w:t>
      </w:r>
      <w:r>
        <w:t xml:space="preserve"> </w:t>
      </w:r>
      <w:r>
        <w:t xml:space="preserve">2026Q2 Earnings Call</w:t>
      </w:r>
    </w:p>
    <w:bookmarkStart w:id="9" w:name="the-setup-a-war-driven-windfall-quarter"/>
    <w:p>
      <w:pPr>
        <w:pStyle w:val="Heading2"/>
      </w:pPr>
      <w:r>
        <w:t xml:space="preserve">The Setup: A War-Driven Windfall Quarter</w:t>
      </w:r>
    </w:p>
    <w:p>
      <w:pPr>
        <w:pStyle w:val="FirstParagraph"/>
      </w:pPr>
      <w:r>
        <w:t xml:space="preserve">ExxonMobil enters tomorrow's print in an unusual position for a company that spent much of the past two years managing a soft commodity backdrop: analysts expect</w:t>
      </w:r>
      <w:r>
        <w:t xml:space="preserve"> </w:t>
      </w:r>
      <w:r>
        <w:rPr>
          <w:b/>
          <w:bCs/>
        </w:rPr>
        <w:t xml:space="preserve">the strongest quarterly results since 2022</w:t>
      </w:r>
      <w:r>
        <w:t xml:space="preserve"> </w:t>
      </w:r>
      <w:r>
        <w:t xml:space="preserve">on the back of the U.S.-Israeli conflict with Iran, which injected a hefty geopolitical risk premium into oil markets and, for months, virtually shut down the Strait of Hormuz, which carries about a fifth of global oil flows. Benchmark Brent crude averaged $96.68 per barrel during the April-June quarter, up 23% from the first three months of the year, and climbed to $109.27 a barrel in April for the first time since 2022.</w:t>
      </w:r>
    </w:p>
    <w:p>
      <w:pPr>
        <w:pStyle w:val="BodyText"/>
      </w:pPr>
      <w:r>
        <w:t xml:space="preserve">Exxon itself pre-announced the scale of the impact on July 7: second-quarter earnings jumped by almost $4 billion as the Iran conflict boosted oil prices, with a $3.7 billion profit increase from the upsurge in crude markets compounded by an additional $3.3 billion in refining and chemical gains. Management also flagged an offset: disruptions due to the war could hurt second-quarter profit across the upstream and downstream units by about $1 billion. Consensus has settled at</w:t>
      </w:r>
      <w:r>
        <w:t xml:space="preserve"> </w:t>
      </w:r>
      <w:r>
        <w:rPr>
          <w:b/>
          <w:bCs/>
        </w:rPr>
        <w:t xml:space="preserve">adjusted earnings of roughly $15.7 billion for the quarter — about triple Q1's result</w:t>
      </w:r>
      <w:r>
        <w:t xml:space="preserve"> </w:t>
      </w:r>
      <w:r>
        <w:t xml:space="preserve">according to consensus analyst estimates compiled by LSEG.</w:t>
      </w:r>
    </w:p>
    <w:bookmarkEnd w:id="9"/>
    <w:bookmarkStart w:id="10" w:name="consensus-numbers-going-in"/>
    <w:p>
      <w:pPr>
        <w:pStyle w:val="Heading2"/>
      </w:pPr>
      <w:r>
        <w:t xml:space="preserve">Consensus Numbers Going In</w:t>
      </w:r>
    </w:p>
    <w:p>
      <w:pPr>
        <w:pStyle w:val="FirstParagraph"/>
      </w:pPr>
      <w:r>
        <w:t xml:space="preserve">Estimates vary slightly by provider but tell a consistent story of a step-change quarter:</w:t>
      </w:r>
    </w:p>
    <w:p>
      <w:pPr>
        <w:pStyle w:val="Compact"/>
        <w:numPr>
          <w:ilvl w:val="0"/>
          <w:numId w:val="1001"/>
        </w:numPr>
      </w:pPr>
      <w:r>
        <w:rPr>
          <w:b/>
          <w:bCs/>
        </w:rPr>
        <w:t xml:space="preserve">EPS:</w:t>
      </w:r>
      <w:r>
        <w:t xml:space="preserve"> </w:t>
      </w:r>
      <w:r>
        <w:t xml:space="preserve">Consensus clusters around</w:t>
      </w:r>
      <w:r>
        <w:t xml:space="preserve"> </w:t>
      </w:r>
      <m:oMath>
        <m:r>
          <m:t>3.68</m:t>
        </m:r>
        <m:r>
          <m:rPr>
            <m:sty m:val="p"/>
          </m:rPr>
          <m:t>–</m:t>
        </m:r>
      </m:oMath>
      <w:r>
        <w:rPr>
          <w:b/>
          <w:bCs/>
        </w:rPr>
        <w:t xml:space="preserve">3.88</w:t>
      </w:r>
      <w:r>
        <w:t xml:space="preserve">, implying roughly</w:t>
      </w:r>
      <w:r>
        <w:t xml:space="preserve"> </w:t>
      </w:r>
      <w:r>
        <w:rPr>
          <w:b/>
          <w:bCs/>
        </w:rPr>
        <w:t xml:space="preserve">125–137% growth</w:t>
      </w:r>
      <w:r>
        <w:t xml:space="preserve"> </w:t>
      </w:r>
      <w:r>
        <w:t xml:space="preserve">from last year's $1.64, with the high-end EPS forecast at $4.46 and the low end at $3.14 reflecting wide dispersion on crude/margin assumptions.</w:t>
      </w:r>
    </w:p>
    <w:p>
      <w:pPr>
        <w:pStyle w:val="Compact"/>
        <w:numPr>
          <w:ilvl w:val="0"/>
          <w:numId w:val="1001"/>
        </w:numPr>
      </w:pPr>
      <w:r>
        <w:rPr>
          <w:b/>
          <w:bCs/>
        </w:rPr>
        <w:t xml:space="preserve">Revenue:</w:t>
      </w:r>
      <w:r>
        <w:t xml:space="preserve"> </w:t>
      </w:r>
      <w:r>
        <w:t xml:space="preserve">Estimates range from</w:t>
      </w:r>
      <w:r>
        <w:t xml:space="preserve"> </w:t>
      </w:r>
      <w:r>
        <w:rPr>
          <w:b/>
          <w:bCs/>
        </w:rPr>
        <w:t xml:space="preserve">$95.8B to $99.6B</w:t>
      </w:r>
      <w:r>
        <w:t xml:space="preserve">, versus last year's $79.48B, which would be Exxon's highest quarterly revenue in 15 quarters.</w:t>
      </w:r>
    </w:p>
    <w:p>
      <w:pPr>
        <w:pStyle w:val="Compact"/>
        <w:numPr>
          <w:ilvl w:val="0"/>
          <w:numId w:val="1001"/>
        </w:numPr>
      </w:pPr>
      <w:r>
        <w:rPr>
          <w:b/>
          <w:bCs/>
        </w:rPr>
        <w:t xml:space="preserve">Track record:</w:t>
      </w:r>
      <w:r>
        <w:t xml:space="preserve"> </w:t>
      </w:r>
      <w:r>
        <w:t xml:space="preserve">The company has beaten analyst estimates for earnings per share in nine of the last 10 quarters overall, including eight straight beats, though Zacks' quant model flags a note of caution this time, as its proven model doesn't predict an earnings beat for XOM this time around.</w:t>
      </w:r>
    </w:p>
    <w:bookmarkEnd w:id="10"/>
    <w:bookmarkStart w:id="11" w:name="why-q1-matters-as-a-bridge"/>
    <w:p>
      <w:pPr>
        <w:pStyle w:val="Heading2"/>
      </w:pPr>
      <w:r>
        <w:t xml:space="preserve">Why Q1 Matters as a Bridge</w:t>
      </w:r>
    </w:p>
    <w:p>
      <w:pPr>
        <w:pStyle w:val="FirstParagraph"/>
      </w:pPr>
      <w:r>
        <w:t xml:space="preserve">Q1 2026 was messier than the headline suggests and helps explain why Q2 could look even stronger than the raw commodity move implies. Exxon reported first-quarter earnings of $4.2 billion, or $8.8 billion excluding unfavorable estimated timing effects of $3.9 billion and an identified item of $0.7 billion, translating to earnings per share of $1.00, or $1.16 excluding the identified item, and $2.09 excluding the identified item and estimated timing effects. On the Q1 call, CFO Neil Hansen explained that because Exxon is generally long physical and short paper, periods of rising prices produce negative timing effects that reverse in subsequent quarters when prices stabilize or fall (per the transcript discussion). With crude having spiked further in Q2, investors should watch whether this "timing effect" swings into a large positive contributor to GAAP earnings, potentially amplifying the printed beat even further versus the "clean" underlying number.</w:t>
      </w:r>
    </w:p>
    <w:bookmarkEnd w:id="11"/>
    <w:bookmarkStart w:id="12" w:name="what-to-watch-in-the-print"/>
    <w:p>
      <w:pPr>
        <w:pStyle w:val="Heading2"/>
      </w:pPr>
      <w:r>
        <w:t xml:space="preserve">What to Watch in the Print</w:t>
      </w:r>
    </w:p>
    <w:p>
      <w:pPr>
        <w:pStyle w:val="Compact"/>
        <w:numPr>
          <w:ilvl w:val="0"/>
          <w:numId w:val="1002"/>
        </w:numPr>
      </w:pPr>
      <w:r>
        <w:rPr>
          <w:b/>
          <w:bCs/>
        </w:rPr>
        <w:t xml:space="preserve">Upstream volumes and guidance revisions</w:t>
      </w:r>
      <w:r>
        <w:t xml:space="preserve"> </w:t>
      </w:r>
      <w:r>
        <w:t xml:space="preserve">— Permian and Guyana growth has been the company's calling card; watch for updates on the</w:t>
      </w:r>
      <w:r>
        <w:t xml:space="preserve"> </w:t>
      </w:r>
      <w:r>
        <w:rPr>
          <w:b/>
          <w:bCs/>
        </w:rPr>
        <w:t xml:space="preserve">1.8 million boe/d Permian target</w:t>
      </w:r>
      <w:r>
        <w:t xml:space="preserve"> </w:t>
      </w:r>
      <w:r>
        <w:t xml:space="preserve">and any change to the roughly</w:t>
      </w:r>
      <w:r>
        <w:t xml:space="preserve"> </w:t>
      </w:r>
      <w:r>
        <w:rPr>
          <w:b/>
          <w:bCs/>
        </w:rPr>
        <w:t xml:space="preserve">2.5 million boe/d longer-term ambition</w:t>
      </w:r>
      <w:r>
        <w:t xml:space="preserve">, plus Guyana's Uaru/Whiptail/Hammerhead project progress.</w:t>
      </w:r>
    </w:p>
    <w:p>
      <w:pPr>
        <w:pStyle w:val="Compact"/>
        <w:numPr>
          <w:ilvl w:val="0"/>
          <w:numId w:val="1002"/>
        </w:numPr>
      </w:pPr>
      <w:r>
        <w:rPr>
          <w:b/>
          <w:bCs/>
        </w:rPr>
        <w:t xml:space="preserve">Refining margins vs. feedstock cost squeeze</w:t>
      </w:r>
      <w:r>
        <w:t xml:space="preserve"> </w:t>
      </w:r>
      <w:r>
        <w:t xml:space="preserve">— Higher crude prices are a double-edged sword: the high oil price is hurting the company's refining operations, since input costs have jumped, even as crack spreads have been strong. Exxon's North American-weighted, gas-cracker-advantaged chemical and refining footprint should provide some relative protection, as management noted on the Q1 call that its U.S. gas-fed crackers carry a structural feed-cost advantage versus global liquid crackers.</w:t>
      </w:r>
    </w:p>
    <w:p>
      <w:pPr>
        <w:pStyle w:val="Compact"/>
        <w:numPr>
          <w:ilvl w:val="0"/>
          <w:numId w:val="1002"/>
        </w:numPr>
      </w:pPr>
      <w:r>
        <w:rPr>
          <w:b/>
          <w:bCs/>
        </w:rPr>
        <w:t xml:space="preserve">Qatar/Golden Pass and LNG disruption</w:t>
      </w:r>
      <w:r>
        <w:t xml:space="preserve"> </w:t>
      </w:r>
      <w:r>
        <w:t xml:space="preserve">— Two Qatari LNG trains tied to Exxon's joint venture were damaged in the conflict, with repair timelines management pegged at</w:t>
      </w:r>
      <w:r>
        <w:t xml:space="preserve"> </w:t>
      </w:r>
      <w:r>
        <w:rPr>
          <w:b/>
          <w:bCs/>
        </w:rPr>
        <w:t xml:space="preserve">3–5 years</w:t>
      </w:r>
      <w:r>
        <w:t xml:space="preserve"> </w:t>
      </w:r>
      <w:r>
        <w:t xml:space="preserve">on the Q1 call, representing about 3% of global production. Any update on repair scope, insurance recovery, or Golden Pass Train 2/3 timing (mechanical completion targeted late 2026/Q2 2027) will matter for the LNG growth story.</w:t>
      </w:r>
    </w:p>
    <w:p>
      <w:pPr>
        <w:pStyle w:val="Compact"/>
        <w:numPr>
          <w:ilvl w:val="0"/>
          <w:numId w:val="1002"/>
        </w:numPr>
      </w:pPr>
      <w:r>
        <w:rPr>
          <w:b/>
          <w:bCs/>
        </w:rPr>
        <w:t xml:space="preserve">Capital allocation under a windfall</w:t>
      </w:r>
      <w:r>
        <w:t xml:space="preserve"> </w:t>
      </w:r>
      <w:r>
        <w:t xml:space="preserve">— With full-year 2026 EPS now projected around $11.38, up 62.8% from $6.99 in 2025, the key debate is how Exxon deploys the cash. The company has reaffirmed</w:t>
      </w:r>
      <w:r>
        <w:t xml:space="preserve"> </w:t>
      </w:r>
      <w:r>
        <w:rPr>
          <w:b/>
          <w:bCs/>
        </w:rPr>
        <w:t xml:space="preserve">2026 cash capex guidance of</w:t>
      </w:r>
      <w:r>
        <w:rPr>
          <w:b/>
          <w:bCs/>
        </w:rPr>
        <w:t xml:space="preserve"> </w:t>
      </w:r>
      <m:oMath>
        <m:r>
          <m:t>27</m:t>
        </m:r>
        <m:r>
          <m:rPr>
            <m:sty m:val="p"/>
          </m:rPr>
          <m:t>–</m:t>
        </m:r>
        <m:r>
          <m:t>29</m:t>
        </m:r>
        <m:r>
          <m:t>b</m:t>
        </m:r>
        <m:r>
          <m:t>i</m:t>
        </m:r>
        <m:r>
          <m:t>l</m:t>
        </m:r>
        <m:r>
          <m:t>l</m:t>
        </m:r>
        <m:r>
          <m:t>i</m:t>
        </m:r>
        <m:r>
          <m:t>o</m:t>
        </m:r>
        <m:r>
          <m:t>n</m:t>
        </m:r>
        <m:r>
          <m:rPr>
            <m:sty m:val="p"/>
          </m:rPr>
          <m:t>*</m:t>
        </m:r>
        <m:r>
          <m:rPr>
            <m:sty m:val="p"/>
          </m:rPr>
          <m:t>*</m:t>
        </m:r>
        <m:r>
          <m:t>a</m:t>
        </m:r>
        <m:r>
          <m:t>n</m:t>
        </m:r>
        <m:r>
          <m:t>d</m:t>
        </m:r>
        <m:r>
          <m:t>a</m:t>
        </m:r>
        <m:r>
          <m:rPr>
            <m:sty m:val="p"/>
          </m:rPr>
          <m:t>*</m:t>
        </m:r>
        <m:r>
          <m:rPr>
            <m:sty m:val="p"/>
          </m:rPr>
          <m:t>*</m:t>
        </m:r>
      </m:oMath>
      <w:r>
        <w:rPr>
          <w:b/>
          <w:bCs/>
        </w:rPr>
        <w:t xml:space="preserve">20 billion share buyback program for 2026</w:t>
      </w:r>
      <w:r>
        <w:t xml:space="preserve">, alongside a dividend it has raised for</w:t>
      </w:r>
      <w:r>
        <w:t xml:space="preserve"> </w:t>
      </w:r>
      <w:r>
        <w:rPr>
          <w:b/>
          <w:bCs/>
        </w:rPr>
        <w:t xml:space="preserve">43 consecutive years</w:t>
      </w:r>
      <w:r>
        <w:t xml:space="preserve"> </w:t>
      </w:r>
      <w:r>
        <w:t xml:space="preserve">(Q2 dividend already declared at $1.03/share). Watch for commentary on whether buyback pace accelerates given the cash windfall, versus reinvestment in Permian/Guyana/LNG or M&amp;A (Venezuela heavy-oil optionality was a notable topic on the Q1 call).</w:t>
      </w:r>
    </w:p>
    <w:p>
      <w:pPr>
        <w:pStyle w:val="Compact"/>
        <w:numPr>
          <w:ilvl w:val="0"/>
          <w:numId w:val="1002"/>
        </w:numPr>
      </w:pPr>
      <w:r>
        <w:rPr>
          <w:b/>
          <w:bCs/>
        </w:rPr>
        <w:t xml:space="preserve">Political optics</w:t>
      </w:r>
      <w:r>
        <w:t xml:space="preserve"> </w:t>
      </w:r>
      <w:r>
        <w:t xml:space="preserve">— The earnings outlook could raise eyebrows among Americans feeling pain at the pump, as President Trump has pressed oil companies to do more to lower gasoline prices, adding a layer of scrutiny to how Exxon frames record profits during a war-driven spike.</w:t>
      </w:r>
    </w:p>
    <w:p>
      <w:pPr>
        <w:pStyle w:val="Compact"/>
        <w:numPr>
          <w:ilvl w:val="0"/>
          <w:numId w:val="1002"/>
        </w:numPr>
      </w:pPr>
      <w:r>
        <w:rPr>
          <w:b/>
          <w:bCs/>
        </w:rPr>
        <w:t xml:space="preserve">Sustainability/reversibility of the windfall</w:t>
      </w:r>
      <w:r>
        <w:t xml:space="preserve"> </w:t>
      </w:r>
      <w:r>
        <w:t xml:space="preserve">— This is the crux of the "prove it" debate: crude has already round-tripped materially within the quarter. Oil fell sharply when de-escalation appeared possible (Brent crude fell 4.8% to $87.21/bbl and WTI declined 3.9% to $76.25/bbl when Trump paused a major escalation), then rallied again on renewed strikes. Management's tone on the durability of the risk premium — and whether the Strait of Hormuz normalizes — will shape how the market values this quarter's results (one-time vs. structural).</w:t>
      </w:r>
    </w:p>
    <w:bookmarkEnd w:id="12"/>
    <w:bookmarkStart w:id="13" w:name="X9576ad10987b35df93851a3ff2ec63fb7bd4eb6"/>
    <w:p>
      <w:pPr>
        <w:pStyle w:val="Heading2"/>
      </w:pPr>
      <w:r>
        <w:t xml:space="preserve">Balance Sheet and Cash Flow Context (FY2025 Baseline)</w:t>
      </w:r>
    </w:p>
    <w:p>
      <w:pPr>
        <w:pStyle w:val="FirstParagraph"/>
      </w:pPr>
      <w:r>
        <w:t xml:space="preserve">For scale, Exxon closed FY2025 with earnings of $28.8 billion, or</w:t>
      </w:r>
      <w:r>
        <w:t xml:space="preserve"> </w:t>
      </w:r>
      <m:oMath>
        <m:r>
          <m:t>6.70</m:t>
        </m:r>
        <m:r>
          <m:t>p</m:t>
        </m:r>
        <m:r>
          <m:t>e</m:t>
        </m:r>
        <m:r>
          <m:t>r</m:t>
        </m:r>
        <m:r>
          <m:t>s</m:t>
        </m:r>
        <m:r>
          <m:t>h</m:t>
        </m:r>
        <m:r>
          <m:t>a</m:t>
        </m:r>
        <m:r>
          <m:t>r</m:t>
        </m:r>
        <m:r>
          <m:t>e</m:t>
        </m:r>
        <m:r>
          <m:rPr>
            <m:sty m:val="p"/>
          </m:rPr>
          <m:t>(</m:t>
        </m:r>
      </m:oMath>
      <w:r>
        <w:t xml:space="preserve">6.99 excluding identified items), cash flow from operations of $52.0 billion, and shareholder distributions of $37.2 billion (17.2B dividends,</w:t>
      </w:r>
      <w:r>
        <w:t xml:space="preserve"> </w:t>
      </w:r>
      <m:oMath>
        <m:r>
          <m:t>20.0</m:t>
        </m:r>
        <m:r>
          <m:t>B</m:t>
        </m:r>
        <m:r>
          <m:t>b</m:t>
        </m:r>
        <m:r>
          <m:t>u</m:t>
        </m:r>
        <m:r>
          <m:t>y</m:t>
        </m:r>
        <m:r>
          <m:t>b</m:t>
        </m:r>
        <m:r>
          <m:t>a</m:t>
        </m:r>
        <m:r>
          <m:t>c</m:t>
        </m:r>
        <m:r>
          <m:t>k</m:t>
        </m:r>
        <m:r>
          <m:t>s</m:t>
        </m:r>
        <m:r>
          <m:rPr>
            <m:sty m:val="p"/>
          </m:rPr>
          <m:t>)</m:t>
        </m:r>
        <m:r>
          <m:rPr>
            <m:sty m:val="p"/>
          </m:rPr>
          <m:t>.</m:t>
        </m:r>
        <m:r>
          <m:t>L</m:t>
        </m:r>
        <m:r>
          <m:t>e</m:t>
        </m:r>
        <m:r>
          <m:t>v</m:t>
        </m:r>
        <m:r>
          <m:t>e</m:t>
        </m:r>
        <m:r>
          <m:t>r</m:t>
        </m:r>
        <m:r>
          <m:t>a</m:t>
        </m:r>
        <m:r>
          <m:t>g</m:t>
        </m:r>
        <m:r>
          <m:t>e</m:t>
        </m:r>
        <m:r>
          <m:t>r</m:t>
        </m:r>
        <m:r>
          <m:t>e</m:t>
        </m:r>
        <m:r>
          <m:t>m</m:t>
        </m:r>
        <m:r>
          <m:t>a</m:t>
        </m:r>
        <m:r>
          <m:t>i</m:t>
        </m:r>
        <m:r>
          <m:t>n</m:t>
        </m:r>
        <m:r>
          <m:t>s</m:t>
        </m:r>
        <m:r>
          <m:t>c</m:t>
        </m:r>
        <m:r>
          <m:t>o</m:t>
        </m:r>
        <m:r>
          <m:t>n</m:t>
        </m:r>
        <m:r>
          <m:t>s</m:t>
        </m:r>
        <m:r>
          <m:t>e</m:t>
        </m:r>
        <m:r>
          <m:t>r</m:t>
        </m:r>
        <m:r>
          <m:t>v</m:t>
        </m:r>
        <m:r>
          <m:t>a</m:t>
        </m:r>
        <m:r>
          <m:t>t</m:t>
        </m:r>
        <m:r>
          <m:t>i</m:t>
        </m:r>
        <m:r>
          <m:t>v</m:t>
        </m:r>
        <m:r>
          <m:t>e</m:t>
        </m:r>
        <m:r>
          <m:rPr>
            <m:sty m:val="p"/>
          </m:rPr>
          <m:t>,</m:t>
        </m:r>
        <m:r>
          <m:t>w</m:t>
        </m:r>
        <m:r>
          <m:t>i</m:t>
        </m:r>
        <m:r>
          <m:t>t</m:t>
        </m:r>
        <m:r>
          <m:t>h</m:t>
        </m:r>
        <m:r>
          <m:t>a</m:t>
        </m:r>
        <m:r>
          <m:rPr>
            <m:sty m:val="p"/>
          </m:rPr>
          <m:t>*</m:t>
        </m:r>
        <m:r>
          <m:rPr>
            <m:sty m:val="p"/>
          </m:rPr>
          <m:t>*</m:t>
        </m:r>
        <m:r>
          <m:t>d</m:t>
        </m:r>
        <m:r>
          <m:t>e</m:t>
        </m:r>
        <m:r>
          <m:t>b</m:t>
        </m:r>
        <m:r>
          <m:t>t</m:t>
        </m:r>
        <m:r>
          <m:rPr>
            <m:sty m:val="p"/>
          </m:rPr>
          <m:t>−</m:t>
        </m:r>
        <m:r>
          <m:t>t</m:t>
        </m:r>
        <m:r>
          <m:t>o</m:t>
        </m:r>
        <m:r>
          <m:rPr>
            <m:sty m:val="p"/>
          </m:rPr>
          <m:t>−</m:t>
        </m:r>
        <m:r>
          <m:t>c</m:t>
        </m:r>
        <m:r>
          <m:t>a</m:t>
        </m:r>
        <m:r>
          <m:t>p</m:t>
        </m:r>
        <m:r>
          <m:t>i</m:t>
        </m:r>
        <m:r>
          <m:t>t</m:t>
        </m:r>
        <m:r>
          <m:t>a</m:t>
        </m:r>
        <m:r>
          <m:t>l</m:t>
        </m:r>
        <m:r>
          <m:t>r</m:t>
        </m:r>
        <m:r>
          <m:t>a</m:t>
        </m:r>
        <m:r>
          <m:t>t</m:t>
        </m:r>
        <m:r>
          <m:t>i</m:t>
        </m:r>
        <m:r>
          <m:t>o</m:t>
        </m:r>
        <m:r>
          <m:t>o</m:t>
        </m:r>
        <m:r>
          <m:t>f</m:t>
        </m:r>
        <m:r>
          <m:t>14.0</m:t>
        </m:r>
      </m:oMath>
      <w:r>
        <w:t xml:space="preserve">10.7 billion** of period-end cash — giving the company ample flexibility to lean into buybacks if management wants to signal confidence in the windfall's durability.</w:t>
      </w:r>
    </w:p>
    <w:bookmarkEnd w:id="13"/>
    <w:bookmarkStart w:id="14" w:name="stock-performance-and-positioning"/>
    <w:p>
      <w:pPr>
        <w:pStyle w:val="Heading2"/>
      </w:pPr>
      <w:r>
        <w:t xml:space="preserve">Stock Performance and Positioning</w:t>
      </w:r>
    </w:p>
    <w:p>
      <w:pPr>
        <w:pStyle w:val="FirstParagraph"/>
      </w:pPr>
      <w:r>
        <w:t xml:space="preserve">XOM shares have been volatile but resilient: after touching</w:t>
      </w:r>
      <w:r>
        <w:t xml:space="preserve"> </w:t>
      </w:r>
      <w:r>
        <w:rPr>
          <w:b/>
          <w:bCs/>
        </w:rPr>
        <w:t xml:space="preserve">all-time highs in March</w:t>
      </w:r>
      <w:r>
        <w:t xml:space="preserve">, both Chevron and ExxonMobil stock hit all-time highs in March but have fallen since, though both stocks are up over 20% year-to-date in 2026. Shares bottomed near $136 in late June amid de-escalation hopes, then rallied back above</w:t>
      </w:r>
      <w:r>
        <w:t xml:space="preserve"> </w:t>
      </w:r>
      <m:oMath>
        <m:r>
          <m:t>155</m:t>
        </m:r>
        <m:r>
          <m:t>i</m:t>
        </m:r>
        <m:r>
          <m:t>n</m:t>
        </m:r>
        <m:r>
          <m:t>t</m:t>
        </m:r>
        <m:r>
          <m:t>o</m:t>
        </m:r>
        <m:r>
          <m:t>e</m:t>
        </m:r>
        <m:r>
          <m:t>a</m:t>
        </m:r>
        <m:r>
          <m:t>r</m:t>
        </m:r>
        <m:r>
          <m:t>n</m:t>
        </m:r>
        <m:r>
          <m:t>i</m:t>
        </m:r>
        <m:r>
          <m:t>n</m:t>
        </m:r>
        <m:r>
          <m:t>g</m:t>
        </m:r>
        <m:r>
          <m:t>s</m:t>
        </m:r>
        <m:r>
          <m:t>a</m:t>
        </m:r>
        <m:r>
          <m:t>s</m:t>
        </m:r>
        <m:r>
          <m:t>I</m:t>
        </m:r>
        <m:r>
          <m:t>r</m:t>
        </m:r>
        <m:r>
          <m:t>a</m:t>
        </m:r>
        <m:r>
          <m:t>n</m:t>
        </m:r>
        <m:r>
          <m:t>t</m:t>
        </m:r>
        <m:r>
          <m:t>e</m:t>
        </m:r>
        <m:r>
          <m:t>n</m:t>
        </m:r>
        <m:r>
          <m:t>s</m:t>
        </m:r>
        <m:r>
          <m:t>i</m:t>
        </m:r>
        <m:r>
          <m:t>o</m:t>
        </m:r>
        <m:r>
          <m:t>n</m:t>
        </m:r>
        <m:r>
          <m:t>s</m:t>
        </m:r>
        <m:r>
          <m:t>r</m:t>
        </m:r>
        <m:r>
          <m:t>e</m:t>
        </m:r>
        <m:r>
          <m:t>s</m:t>
        </m:r>
        <m:r>
          <m:t>u</m:t>
        </m:r>
        <m:r>
          <m:t>r</m:t>
        </m:r>
        <m:r>
          <m:t>f</m:t>
        </m:r>
        <m:r>
          <m:t>a</m:t>
        </m:r>
        <m:r>
          <m:t>c</m:t>
        </m:r>
        <m:r>
          <m:t>e</m:t>
        </m:r>
        <m:r>
          <m:t>d</m:t>
        </m:r>
        <m:r>
          <m:rPr>
            <m:sty m:val="p"/>
          </m:rPr>
          <m:t>,</m:t>
        </m:r>
        <m:r>
          <m:t>c</m:t>
        </m:r>
        <m:r>
          <m:t>l</m:t>
        </m:r>
        <m:r>
          <m:t>o</m:t>
        </m:r>
        <m:r>
          <m:t>s</m:t>
        </m:r>
        <m:r>
          <m:t>i</m:t>
        </m:r>
        <m:r>
          <m:t>n</m:t>
        </m:r>
        <m:r>
          <m:t>g</m:t>
        </m:r>
        <m:r>
          <m:t>a</m:t>
        </m:r>
        <m:r>
          <m:t>t</m:t>
        </m:r>
        <m:r>
          <m:rPr>
            <m:sty m:val="p"/>
          </m:rPr>
          <m:t>*</m:t>
        </m:r>
        <m:r>
          <m:rPr>
            <m:sty m:val="p"/>
          </m:rPr>
          <m:t>*</m:t>
        </m:r>
      </m:oMath>
      <w:r>
        <w:t xml:space="preserve">157.00 on July 30**. XOM stock has surged 41.7% over the past 52 weeks, outperforming the S&amp;P 500's 19.2% rise and the Energy Select Sector SPDR ETF's 38.6% return.</w:t>
      </w:r>
    </w:p>
    <w:p>
      <w:pPr>
        <w:pStyle w:val="BodyText"/>
      </w:pPr>
      <w:r>
        <w:t xml:space="preserve">Analyst sentiment is constructive but split on how much of the windfall is priced in: analysts are moderately bullish on XOM overall, with 12 "Strong Buy," 12 "Hold," and one "Strong Sell" among 26 covering analysts, and price targets have been drifting higher, with a mean target near</w:t>
      </w:r>
      <w:r>
        <w:t xml:space="preserve"> </w:t>
      </w:r>
      <w:r>
        <w:rPr>
          <w:b/>
          <w:bCs/>
        </w:rPr>
        <w:t xml:space="preserve">$173</w:t>
      </w:r>
      <w:r>
        <w:t xml:space="preserve"> </w:t>
      </w:r>
      <w:r>
        <w:t xml:space="preserve">implying modest upside from current levels. Notably, JPMorgan trimmed its price target from $173 to $158 (while keeping an Overweight rating) even as it models EPS above consensus, while Citi lifted its Q2 EPS estimate by 7% but trimmed its 2026 cash-flow forecast by 4% — reflecting some caution that near-term price strength may not be sustainable into 2027.</w:t>
      </w:r>
    </w:p>
    <w:bookmarkEnd w:id="14"/>
    <w:bookmarkStart w:id="15" w:name="housekeeping-corporate-redomiciliation"/>
    <w:p>
      <w:pPr>
        <w:pStyle w:val="Heading2"/>
      </w:pPr>
      <w:r>
        <w:t xml:space="preserve">Housekeeping: Corporate Redomiciliation</w:t>
      </w:r>
    </w:p>
    <w:p>
      <w:pPr>
        <w:pStyle w:val="FirstParagraph"/>
      </w:pPr>
      <w:r>
        <w:t xml:space="preserve">Separately from earnings, investors should note that on</w:t>
      </w:r>
      <w:r>
        <w:t xml:space="preserve"> </w:t>
      </w:r>
      <w:r>
        <w:rPr>
          <w:b/>
          <w:bCs/>
        </w:rPr>
        <w:t xml:space="preserve">July 1, 2026</w:t>
      </w:r>
      <w:r>
        <w:t xml:space="preserve">, Exxon completed a corporate redomiciliation, converting the New Jersey-incorporated Exxon Mobil Corporation into a new Texas holding company, "ExxonMobil Holdings Corporation," which now trades under the same</w:t>
      </w:r>
      <w:r>
        <w:t xml:space="preserve"> </w:t>
      </w:r>
      <w:r>
        <w:rPr>
          <w:b/>
          <w:bCs/>
        </w:rPr>
        <w:t xml:space="preserve">XOM</w:t>
      </w:r>
      <w:r>
        <w:t xml:space="preserve"> </w:t>
      </w:r>
      <w:r>
        <w:t xml:space="preserve">ticker on the NYSE with identical share counts and unchanged management/board continuity. This is a structural/legal change (state of incorporation) and does not affect earnings comparability, but may appear in filing headers and should not be mistaken for a business combination.</w:t>
      </w:r>
    </w:p>
    <w:bookmarkEnd w:id="15"/>
    <w:bookmarkStart w:id="16" w:name="bottom-line"/>
    <w:p>
      <w:pPr>
        <w:pStyle w:val="Heading2"/>
      </w:pPr>
      <w:r>
        <w:t xml:space="preserve">Bottom Line</w:t>
      </w:r>
    </w:p>
    <w:p>
      <w:pPr>
        <w:pStyle w:val="FirstParagraph"/>
      </w:pPr>
      <w:r>
        <w:t xml:space="preserve">This is shaping up as a "prove the mix, not just the price" quarter. The magnitude of the EPS beat is largely pre-telegraphed (management flagged the ~</w:t>
      </w:r>
      <m:oMath>
        <m:r>
          <m:t>3.7</m:t>
        </m:r>
        <m:r>
          <m:rPr>
            <m:sty m:val="p"/>
          </m:rPr>
          <m:t>−</m:t>
        </m:r>
        <m:r>
          <m:t>4</m:t>
        </m:r>
        <m:r>
          <m:t>B</m:t>
        </m:r>
        <m:r>
          <m:t>s</m:t>
        </m:r>
        <m:r>
          <m:t>e</m:t>
        </m:r>
        <m:r>
          <m:t>q</m:t>
        </m:r>
        <m:r>
          <m:t>u</m:t>
        </m:r>
        <m:r>
          <m:t>e</m:t>
        </m:r>
        <m:r>
          <m:t>n</m:t>
        </m:r>
        <m:r>
          <m:t>t</m:t>
        </m:r>
        <m:r>
          <m:t>i</m:t>
        </m:r>
        <m:r>
          <m:t>a</m:t>
        </m:r>
        <m:r>
          <m:t>l</m:t>
        </m:r>
        <m:r>
          <m:t>u</m:t>
        </m:r>
        <m:r>
          <m:t>p</m:t>
        </m:r>
        <m:r>
          <m:t>s</m:t>
        </m:r>
        <m:r>
          <m:t>t</m:t>
        </m:r>
        <m:r>
          <m:t>r</m:t>
        </m:r>
        <m:r>
          <m:t>e</m:t>
        </m:r>
        <m:r>
          <m:t>a</m:t>
        </m:r>
        <m:r>
          <m:t>m</m:t>
        </m:r>
        <m:r>
          <m:t>b</m:t>
        </m:r>
        <m:r>
          <m:t>o</m:t>
        </m:r>
        <m:r>
          <m:t>o</m:t>
        </m:r>
        <m:r>
          <m:t>s</m:t>
        </m:r>
        <m:r>
          <m:t>t</m:t>
        </m:r>
        <m:r>
          <m:t>p</m:t>
        </m:r>
        <m:r>
          <m:t>l</m:t>
        </m:r>
        <m:r>
          <m:t>u</m:t>
        </m:r>
        <m:r>
          <m:t>s</m:t>
        </m:r>
        <m:r>
          <m:t> </m:t>
        </m:r>
      </m:oMath>
      <w:r>
        <w:t xml:space="preserve">3.3B refining/chemical gains in early July), so the real swing factors for the stock reaction are likely to be: (1) how much of the Q1 negative timing/derivative drag reverses favorably in Q2, (2) commentary on capital return acceleration (buyback pace) versus reinvestment, (3) clarity on the Qatar LNG repair timeline and Golden Pass ramp, and (4) management's framing of how durable the Iran-driven price premium is likely to be for H2 2026 guidance. Given the stock's already-elevated valuation near 52-week highs and analysts' mixed price-target revisions, a "good enough" number may be met with a "sell the news" reaction unless management signals the windfall translates into structurally higher shareholder returns rather than a one-quarter geopolitical spike.</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2026-07-31T00:23:02Z</dcterms:created>
  <dcterms:modified xsi:type="dcterms:W3CDTF">2026-07-31T00:23:02Z</dcterms:modified>
</cp:coreProperties>
</file>

<file path=docProps/custom.xml><?xml version="1.0" encoding="utf-8"?>
<Properties xmlns="http://schemas.openxmlformats.org/officeDocument/2006/custom-properties" xmlns:vt="http://schemas.openxmlformats.org/officeDocument/2006/docPropsVTypes"/>
</file>