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om-earnings-predictions--2026-07-31"/>
    <w:p>
      <w:pPr>
        <w:pStyle w:val="Heading1"/>
      </w:pPr>
      <w:r>
        <w:t xml:space="preserve">XOM Earnings Predictions — 2026-07-31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 (2Q26)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~$3.82 vs. cons $3.76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Free cash flow (2Q26)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~$13.5B vs. cons $14.0B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Net production (2Q26)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~4.48M boe/d vs. cons 4.60M boe/d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Total net production outlook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~4.45M boe/d vs. cons 4.62M boe/d (3Q26)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Cash capital expenditures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~$28.0B midpoint vs. cons $27.3B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Share repurchases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~$20.0B vs. cons $20.0B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Permian production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~1.80M boe/d vs. cons 1.80M boe/d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-2.0%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-3.2% (FOLLOW-THROUGH)</w:t>
            </w:r>
          </w:p>
        </w:tc>
        <w:tc>
          <w:tcPr/>
          <w:p>
            <w:pPr>
              <w:pStyle w:val="Compact"/>
            </w:pPr>
            <w:r>
              <w:t xml:space="preserve">A modest 2Q EPS beat is outweighed by weaker free-cash-flow conversion and production, while persistent Middle East outages imply 3Q26 EPS revisions toward ~$2.40 versus current consensus of $2.55; the out-period cuts should extend the initial negative reaction.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2026-07-31T00:24:49Z</dcterms:created>
  <dcterms:modified xsi:type="dcterms:W3CDTF">2026-07-31T00:24:49Z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