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9" w:name="exxonmobil-xom-2q26-earnings-preview"/>
    <w:p>
      <w:pPr>
        <w:pStyle w:val="Heading1"/>
      </w:pPr>
      <w:r>
        <w:t xml:space="preserve">ExxonMobil (XOM) 2Q26 Earnings Preview</w:t>
      </w:r>
    </w:p>
    <w:p>
      <w:pPr>
        <w:pStyle w:val="BlockText"/>
      </w:pPr>
      <w:r>
        <w:rPr>
          <w:b/>
          <w:bCs/>
        </w:rPr>
        <w:t xml:space="preserve">Calendar note:</w:t>
      </w:r>
      <w:r>
        <w:t xml:space="preserve"> </w:t>
      </w:r>
      <w:r>
        <w:t xml:space="preserve">July 31, 2026 is</w:t>
      </w:r>
      <w:r>
        <w:t xml:space="preserve"> </w:t>
      </w:r>
      <w:r>
        <w:rPr>
          <w:b/>
          <w:bCs/>
        </w:rPr>
        <w:t xml:space="preserve">today</w:t>
      </w:r>
      <w:r>
        <w:t xml:space="preserve"> </w:t>
      </w:r>
      <w:r>
        <w:t xml:space="preserve">under the supplied date context, not tomorrow. ExxonMobil is scheduled to release results at approximately</w:t>
      </w:r>
      <w:r>
        <w:t xml:space="preserve"> </w:t>
      </w:r>
      <w:r>
        <w:rPr>
          <w:b/>
          <w:bCs/>
        </w:rPr>
        <w:t xml:space="preserve">5:30 a.m. CT</w:t>
      </w:r>
      <w:r>
        <w:t xml:space="preserve">, followed by its earnings call at</w:t>
      </w:r>
      <w:r>
        <w:t xml:space="preserve"> </w:t>
      </w:r>
      <w:r>
        <w:rPr>
          <w:b/>
          <w:bCs/>
        </w:rPr>
        <w:t xml:space="preserve">8:30 a.m. CT</w:t>
      </w:r>
      <w:r>
        <w:t xml:space="preserve">. This preview is written from a pre-release perspective. (</w:t>
      </w:r>
      <w:hyperlink r:id="rId9">
        <w:r>
          <w:rPr>
            <w:rStyle w:val="Hyperlink"/>
          </w:rPr>
          <w:t xml:space="preserve">investor.exxonmobil.com</w:t>
        </w:r>
      </w:hyperlink>
      <w:r>
        <w:t xml:space="preserve">)</w:t>
      </w:r>
    </w:p>
    <w:bookmarkStart w:id="11" w:name="executive-view"/>
    <w:p>
      <w:pPr>
        <w:pStyle w:val="Heading2"/>
      </w:pPr>
      <w:r>
        <w:t xml:space="preserve">Executive view</w:t>
      </w:r>
    </w:p>
    <w:p>
      <w:pPr>
        <w:pStyle w:val="FirstParagraph"/>
      </w:pPr>
      <w:r>
        <w:t xml:space="preserve">ExxonMobil should report an exceptionally strong quarter, driven by three factors:</w:t>
      </w:r>
    </w:p>
    <w:p>
      <w:pPr>
        <w:pStyle w:val="Compact"/>
        <w:numPr>
          <w:ilvl w:val="0"/>
          <w:numId w:val="1001"/>
        </w:numPr>
      </w:pPr>
      <w:r>
        <w:rPr>
          <w:b/>
          <w:bCs/>
        </w:rPr>
        <w:t xml:space="preserve">Higher crude realizations</w:t>
      </w:r>
    </w:p>
    <w:p>
      <w:pPr>
        <w:pStyle w:val="Compact"/>
        <w:numPr>
          <w:ilvl w:val="0"/>
          <w:numId w:val="1001"/>
        </w:numPr>
      </w:pPr>
      <w:r>
        <w:rPr>
          <w:b/>
          <w:bCs/>
        </w:rPr>
        <w:t xml:space="preserve">A sharp improvement in refining and chemical margins</w:t>
      </w:r>
    </w:p>
    <w:p>
      <w:pPr>
        <w:pStyle w:val="Compact"/>
        <w:numPr>
          <w:ilvl w:val="0"/>
          <w:numId w:val="1001"/>
        </w:numPr>
      </w:pPr>
      <w:r>
        <w:rPr>
          <w:b/>
          <w:bCs/>
        </w:rPr>
        <w:t xml:space="preserve">The reversal of unfavorable trading-related timing effects recorded in 1Q</w:t>
      </w:r>
    </w:p>
    <w:p>
      <w:pPr>
        <w:pStyle w:val="FirstParagraph"/>
      </w:pPr>
      <w:r>
        <w:t xml:space="preserve">The headline numbers will likely be impressive: published estimates cluster around</w:t>
      </w:r>
      <w:r>
        <w:t xml:space="preserve"> </w:t>
      </w:r>
      <m:oMath>
        <m:r>
          <m:t>3.55</m:t>
        </m:r>
        <m:r>
          <m:rPr>
            <m:sty m:val="p"/>
          </m:rPr>
          <m:t>−</m:t>
        </m:r>
      </m:oMath>
      <w:r>
        <w:rPr>
          <w:b/>
          <w:bCs/>
        </w:rPr>
        <w:t xml:space="preserve">3.76 of EPS</w:t>
      </w:r>
      <w:r>
        <w:t xml:space="preserve">, while LSEG consensus in early July called for approximately</w:t>
      </w:r>
      <w:r>
        <w:t xml:space="preserve"> </w:t>
      </w:r>
      <w:r>
        <w:rPr>
          <w:b/>
          <w:bCs/>
        </w:rPr>
        <w:t xml:space="preserve">$15.7 billion of adjusted earnings</w:t>
      </w:r>
      <w:r>
        <w:t xml:space="preserve">, versus $8.8 billion of adjusted earnings in 1Q26 and $7.1 billion of reported earnings in 2Q25. Revenue estimates are less consistent, ranging from roughly $101 billion to $110 billion, and are a relatively poor scorecard for an integrated oil company because of commodity-price and trading-related gross-up effects. (</w:t>
      </w:r>
      <w:hyperlink r:id="rId10">
        <w:r>
          <w:rPr>
            <w:rStyle w:val="Hyperlink"/>
          </w:rPr>
          <w:t xml:space="preserve">benzinga.com</w:t>
        </w:r>
      </w:hyperlink>
      <w:r>
        <w:t xml:space="preserve">)</w:t>
      </w:r>
    </w:p>
    <w:p>
      <w:pPr>
        <w:pStyle w:val="BodyText"/>
      </w:pPr>
      <w:r>
        <w:t xml:space="preserve">The more important questions are:</w:t>
      </w:r>
    </w:p>
    <w:p>
      <w:pPr>
        <w:pStyle w:val="Compact"/>
        <w:numPr>
          <w:ilvl w:val="0"/>
          <w:numId w:val="1002"/>
        </w:numPr>
      </w:pPr>
      <w:r>
        <w:t xml:space="preserve">How much of the quarter’s earnings represents</w:t>
      </w:r>
      <w:r>
        <w:t xml:space="preserve"> </w:t>
      </w:r>
      <w:r>
        <w:rPr>
          <w:b/>
          <w:bCs/>
        </w:rPr>
        <w:t xml:space="preserve">durable operating performance</w:t>
      </w:r>
      <w:r>
        <w:t xml:space="preserve"> </w:t>
      </w:r>
      <w:r>
        <w:t xml:space="preserve">rather than commodity prices and accounting reversals?</w:t>
      </w:r>
    </w:p>
    <w:p>
      <w:pPr>
        <w:pStyle w:val="Compact"/>
        <w:numPr>
          <w:ilvl w:val="0"/>
          <w:numId w:val="1002"/>
        </w:numPr>
      </w:pPr>
      <w:r>
        <w:t xml:space="preserve">How effectively did Exxon capture elevated refining and trading margins?</w:t>
      </w:r>
    </w:p>
    <w:p>
      <w:pPr>
        <w:pStyle w:val="Compact"/>
        <w:numPr>
          <w:ilvl w:val="0"/>
          <w:numId w:val="1002"/>
        </w:numPr>
      </w:pPr>
      <w:r>
        <w:t xml:space="preserve">What will management do with the resulting cash windfall?</w:t>
      </w:r>
    </w:p>
    <w:p>
      <w:pPr>
        <w:pStyle w:val="Compact"/>
        <w:numPr>
          <w:ilvl w:val="0"/>
          <w:numId w:val="1002"/>
        </w:numPr>
      </w:pPr>
      <w:r>
        <w:t xml:space="preserve">How much Middle East disruption will carry into the second half?</w:t>
      </w:r>
    </w:p>
    <w:bookmarkEnd w:id="11"/>
    <w:bookmarkStart w:id="13" w:name="a-rough-earnings-bridge"/>
    <w:p>
      <w:pPr>
        <w:pStyle w:val="Heading2"/>
      </w:pPr>
      <w:r>
        <w:t xml:space="preserve">A rough earnings bridge</w:t>
      </w:r>
    </w:p>
    <w:p>
      <w:pPr>
        <w:pStyle w:val="FirstParagraph"/>
      </w:pPr>
      <w:r>
        <w:t xml:space="preserve">Exxon reported</w:t>
      </w:r>
      <w:r>
        <w:t xml:space="preserve"> </w:t>
      </w:r>
      <w:r>
        <w:rPr>
          <w:b/>
          <w:bCs/>
        </w:rPr>
        <w:t xml:space="preserve">$8.8 billion of adjusted earnings in 1Q26</w:t>
      </w:r>
      <w:r>
        <w:t xml:space="preserve">, compared with $4.2 billion under GAAP. Starting with that adjusted base, the midpoint of the company’s 2Q earnings considerations implies approximately: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2Q26 driver vs. 1Q26</w:t>
            </w:r>
          </w:p>
        </w:tc>
        <w:tc>
          <w:tcPr/>
          <w:p>
            <w:pPr>
              <w:pStyle w:val="Compact"/>
              <w:jc w:val="right"/>
            </w:pPr>
            <w:r>
              <w:t xml:space="preserve">Midpoint earnings effect</w:t>
            </w:r>
          </w:p>
        </w:tc>
      </w:tr>
      <w:tr>
        <w:tc>
          <w:tcPr/>
          <w:p>
            <w:pPr>
              <w:pStyle w:val="Compact"/>
            </w:pPr>
            <w:r>
              <w:t xml:space="preserve">Higher liquids prices</w:t>
            </w:r>
          </w:p>
        </w:tc>
        <w:tc>
          <w:tcPr/>
          <w:p>
            <w:pPr>
              <w:pStyle w:val="Compact"/>
              <w:jc w:val="right"/>
            </w:pPr>
            <w:r>
              <w:rPr>
                <w:b/>
                <w:bCs/>
              </w:rPr>
              <w:t xml:space="preserve">+$3.7B</w:t>
            </w:r>
          </w:p>
        </w:tc>
      </w:tr>
      <w:tr>
        <w:tc>
          <w:tcPr/>
          <w:p>
            <w:pPr>
              <w:pStyle w:val="Compact"/>
            </w:pPr>
            <w:r>
              <w:t xml:space="preserve">Natural gas prices</w:t>
            </w:r>
          </w:p>
        </w:tc>
        <w:tc>
          <w:tcPr/>
          <w:p>
            <w:pPr>
              <w:pStyle w:val="Compact"/>
              <w:jc w:val="right"/>
            </w:pPr>
            <w:r>
              <w:t xml:space="preserve">Approximately flat</w:t>
            </w:r>
          </w:p>
        </w:tc>
      </w:tr>
      <w:tr>
        <w:tc>
          <w:tcPr/>
          <w:p>
            <w:pPr>
              <w:pStyle w:val="Compact"/>
            </w:pPr>
            <w:r>
              <w:t xml:space="preserve">Energy Products margins</w:t>
            </w:r>
          </w:p>
        </w:tc>
        <w:tc>
          <w:tcPr/>
          <w:p>
            <w:pPr>
              <w:pStyle w:val="Compact"/>
              <w:jc w:val="right"/>
            </w:pPr>
            <w:r>
              <w:rPr>
                <w:b/>
                <w:bCs/>
              </w:rPr>
              <w:t xml:space="preserve">+$2.2B</w:t>
            </w:r>
          </w:p>
        </w:tc>
      </w:tr>
      <w:tr>
        <w:tc>
          <w:tcPr/>
          <w:p>
            <w:pPr>
              <w:pStyle w:val="Compact"/>
            </w:pPr>
            <w:r>
              <w:t xml:space="preserve">Chemical Products margins</w:t>
            </w:r>
          </w:p>
        </w:tc>
        <w:tc>
          <w:tcPr/>
          <w:p>
            <w:pPr>
              <w:pStyle w:val="Compact"/>
              <w:jc w:val="right"/>
            </w:pPr>
            <w:r>
              <w:rPr>
                <w:b/>
                <w:bCs/>
              </w:rPr>
              <w:t xml:space="preserve">+$1.1B</w:t>
            </w:r>
          </w:p>
        </w:tc>
      </w:tr>
      <w:tr>
        <w:tc>
          <w:tcPr/>
          <w:p>
            <w:pPr>
              <w:pStyle w:val="Compact"/>
            </w:pPr>
            <w:r>
              <w:t xml:space="preserve">Specialty Products margins</w:t>
            </w:r>
          </w:p>
        </w:tc>
        <w:tc>
          <w:tcPr/>
          <w:p>
            <w:pPr>
              <w:pStyle w:val="Compact"/>
              <w:jc w:val="right"/>
            </w:pPr>
            <w:r>
              <w:rPr>
                <w:b/>
                <w:bCs/>
              </w:rPr>
              <w:t xml:space="preserve">+$0.4B</w:t>
            </w:r>
          </w:p>
        </w:tc>
      </w:tr>
      <w:tr>
        <w:tc>
          <w:tcPr/>
          <w:p>
            <w:pPr>
              <w:pStyle w:val="Compact"/>
            </w:pPr>
            <w:r>
              <w:t xml:space="preserve">Scheduled maintenance</w:t>
            </w:r>
          </w:p>
        </w:tc>
        <w:tc>
          <w:tcPr/>
          <w:p>
            <w:pPr>
              <w:pStyle w:val="Compact"/>
              <w:jc w:val="right"/>
            </w:pPr>
            <w:r>
              <w:rPr>
                <w:b/>
                <w:bCs/>
              </w:rPr>
              <w:t xml:space="preserve">-$0.4B</w:t>
            </w:r>
          </w:p>
        </w:tc>
      </w:tr>
      <w:tr>
        <w:tc>
          <w:tcPr/>
          <w:p>
            <w:pPr>
              <w:pStyle w:val="Compact"/>
            </w:pPr>
            <w:r>
              <w:t xml:space="preserve">Middle East volume disruptions</w:t>
            </w:r>
          </w:p>
        </w:tc>
        <w:tc>
          <w:tcPr/>
          <w:p>
            <w:pPr>
              <w:pStyle w:val="Compact"/>
              <w:jc w:val="right"/>
            </w:pPr>
            <w:r>
              <w:rPr>
                <w:b/>
                <w:bCs/>
              </w:rPr>
              <w:t xml:space="preserve">-$1.2B</w:t>
            </w:r>
          </w:p>
        </w:tc>
      </w:tr>
      <w:tr>
        <w:tc>
          <w:tcPr/>
          <w:p>
            <w:pPr>
              <w:pStyle w:val="Compact"/>
            </w:pPr>
            <w:r>
              <w:rPr>
                <w:b/>
                <w:bCs/>
              </w:rPr>
              <w:t xml:space="preserve">Indicated adjusted-earnings bridge</w:t>
            </w:r>
          </w:p>
        </w:tc>
        <w:tc>
          <w:tcPr/>
          <w:p>
            <w:pPr>
              <w:pStyle w:val="Compact"/>
              <w:jc w:val="right"/>
            </w:pPr>
            <w:r>
              <w:rPr>
                <w:b/>
                <w:bCs/>
              </w:rPr>
              <w:t xml:space="preserve">Approximately $14.6B</w:t>
            </w:r>
          </w:p>
        </w:tc>
      </w:tr>
    </w:tbl>
    <w:p>
      <w:pPr>
        <w:pStyle w:val="BodyText"/>
      </w:pPr>
      <w:r>
        <w:t xml:space="preserve">That rough bridge excludes operating execution, structural cost savings, seasonal expenses, foreign exchange, unscheduled downtime and other items. Exxon explicitly cautions that its earnings-considerations filing is not a full earnings estimate. Nevertheless, the calculation shows why consensus around</w:t>
      </w:r>
      <w:r>
        <w:t xml:space="preserve"> </w:t>
      </w:r>
      <m:oMath>
        <m:r>
          <m:t>15</m:t>
        </m:r>
        <m:r>
          <m:rPr>
            <m:sty m:val="p"/>
          </m:rPr>
          <m:t>−</m:t>
        </m:r>
      </m:oMath>
      <w:r>
        <w:t xml:space="preserve">16 billion is plausible: the quarter combines stronger commodity conditions with a broad recovery in downstream margins. (</w:t>
      </w:r>
      <w:hyperlink r:id="rId12">
        <w:r>
          <w:rPr>
            <w:rStyle w:val="Hyperlink"/>
          </w:rPr>
          <w:t xml:space="preserve">sec.gov</w:t>
        </w:r>
      </w:hyperlink>
      <w:r>
        <w:t xml:space="preserve">)</w:t>
      </w:r>
    </w:p>
    <w:bookmarkEnd w:id="13"/>
    <w:bookmarkStart w:id="14" w:name="the-gaap-versus-adjusted-complication"/>
    <w:p>
      <w:pPr>
        <w:pStyle w:val="Heading2"/>
      </w:pPr>
      <w:r>
        <w:t xml:space="preserve">The GAAP-versus-adjusted complication</w:t>
      </w:r>
    </w:p>
    <w:p>
      <w:pPr>
        <w:pStyle w:val="FirstParagraph"/>
      </w:pPr>
      <w:r>
        <w:t xml:space="preserve">Reported results will contain substantial offsetting items:</w:t>
      </w:r>
    </w:p>
    <w:p>
      <w:pPr>
        <w:pStyle w:val="Compact"/>
        <w:numPr>
          <w:ilvl w:val="0"/>
          <w:numId w:val="1003"/>
        </w:numPr>
      </w:pPr>
      <m:oMath>
        <m:r>
          <m:t>2.2</m:t>
        </m:r>
        <m:r>
          <m:rPr>
            <m:sty m:val="p"/>
          </m:rPr>
          <m:t>−</m:t>
        </m:r>
      </m:oMath>
      <w:r>
        <w:rPr>
          <w:b/>
          <w:bCs/>
        </w:rPr>
        <w:t xml:space="preserve">3.0 billion positive timing effect</w:t>
      </w:r>
      <w:r>
        <w:t xml:space="preserve"> </w:t>
      </w:r>
      <w:r>
        <w:t xml:space="preserve">in Energy Products</w:t>
      </w:r>
    </w:p>
    <w:p>
      <w:pPr>
        <w:pStyle w:val="Compact"/>
        <w:numPr>
          <w:ilvl w:val="0"/>
          <w:numId w:val="1003"/>
        </w:numPr>
      </w:pPr>
      <w:r>
        <w:t xml:space="preserve">A possible</w:t>
      </w:r>
      <w:r>
        <w:t xml:space="preserve"> </w:t>
      </w:r>
      <w:r>
        <w:rPr>
          <w:b/>
          <w:bCs/>
        </w:rPr>
        <w:t xml:space="preserve">$0.3 billion negative to $0.3 billion positive</w:t>
      </w:r>
      <w:r>
        <w:t xml:space="preserve"> </w:t>
      </w:r>
      <w:r>
        <w:t xml:space="preserve">timing effect in Upstream</w:t>
      </w:r>
    </w:p>
    <w:p>
      <w:pPr>
        <w:pStyle w:val="Compact"/>
        <w:numPr>
          <w:ilvl w:val="0"/>
          <w:numId w:val="1003"/>
        </w:numPr>
      </w:pPr>
      <m:oMath>
        <m:r>
          <m:t>0.8</m:t>
        </m:r>
        <m:r>
          <m:rPr>
            <m:sty m:val="p"/>
          </m:rPr>
          <m:t>−</m:t>
        </m:r>
      </m:oMath>
      <w:r>
        <w:rPr>
          <w:b/>
          <w:bCs/>
        </w:rPr>
        <w:t xml:space="preserve">1.0 billion of Energy Products impairments</w:t>
      </w:r>
    </w:p>
    <w:p>
      <w:pPr>
        <w:pStyle w:val="Compact"/>
        <w:numPr>
          <w:ilvl w:val="0"/>
          <w:numId w:val="1003"/>
        </w:numPr>
      </w:pPr>
      <m:oMath>
        <m:r>
          <m:t>1.2</m:t>
        </m:r>
        <m:r>
          <m:rPr>
            <m:sty m:val="p"/>
          </m:rPr>
          <m:t>−</m:t>
        </m:r>
      </m:oMath>
      <w:r>
        <w:rPr>
          <w:b/>
          <w:bCs/>
        </w:rPr>
        <w:t xml:space="preserve">1.4 billion of Upstream “other, including reserves” charges</w:t>
      </w:r>
    </w:p>
    <w:p>
      <w:pPr>
        <w:pStyle w:val="Compact"/>
        <w:numPr>
          <w:ilvl w:val="0"/>
          <w:numId w:val="1003"/>
        </w:numPr>
      </w:pPr>
      <w:r>
        <w:t xml:space="preserve">Additional smaller corporate, downstream and Middle East-related items</w:t>
      </w:r>
    </w:p>
    <w:p>
      <w:pPr>
        <w:pStyle w:val="FirstParagraph"/>
      </w:pPr>
      <w:r>
        <w:t xml:space="preserve">At the midpoint, the positive timing reversal roughly offsets the identified charges. GAAP earnings therefore could finish relatively close to adjusted earnings at the corporate level even though the segment results look unusually noisy. (</w:t>
      </w:r>
      <w:hyperlink r:id="rId12">
        <w:r>
          <w:rPr>
            <w:rStyle w:val="Hyperlink"/>
          </w:rPr>
          <w:t xml:space="preserve">sec.gov</w:t>
        </w:r>
      </w:hyperlink>
      <w:r>
        <w:t xml:space="preserve">)</w:t>
      </w:r>
    </w:p>
    <w:p>
      <w:pPr>
        <w:pStyle w:val="BodyText"/>
      </w:pPr>
      <w:r>
        <w:t xml:space="preserve">This distinction matters. In 1Q, rising commodity prices caused Exxon to recognize losses on financial hedges before recognizing the value of the associated physical shipments. That reduced GAAP earnings by roughly $3.9 billion. The expected 2Q timing benefit is largely the other side of that accounting mismatch—not necessarily new economic profit created during the quarter. Exxon says its trading and optimization activities have consistently generated positive underlying earnings, but investors should distinguish that underlying contribution from the accounting unwind. (</w:t>
      </w:r>
      <w:hyperlink r:id="rId12">
        <w:r>
          <w:rPr>
            <w:rStyle w:val="Hyperlink"/>
          </w:rPr>
          <w:t xml:space="preserve">sec.gov</w:t>
        </w:r>
      </w:hyperlink>
      <w:r>
        <w:t xml:space="preserve">)</w:t>
      </w:r>
    </w:p>
    <w:bookmarkEnd w:id="14"/>
    <w:bookmarkStart w:id="20" w:name="what-to-watch-by-business"/>
    <w:p>
      <w:pPr>
        <w:pStyle w:val="Heading2"/>
      </w:pPr>
      <w:r>
        <w:t xml:space="preserve">What to watch by business</w:t>
      </w:r>
    </w:p>
    <w:bookmarkStart w:id="16" w:name="X27c34c101e695d0b59821cbf1d43722d88d9b76"/>
    <w:p>
      <w:pPr>
        <w:pStyle w:val="Heading3"/>
      </w:pPr>
      <w:r>
        <w:t xml:space="preserve">1. Upstream: strong prices, constrained volumes</w:t>
      </w:r>
    </w:p>
    <w:p>
      <w:pPr>
        <w:pStyle w:val="FirstParagraph"/>
      </w:pPr>
      <w:r>
        <w:t xml:space="preserve">Upstream is likely to remain the largest earnings contributor. Exxon estimates that stronger liquids prices added</w:t>
      </w:r>
      <w:r>
        <w:t xml:space="preserve"> </w:t>
      </w:r>
      <m:oMath>
        <m:r>
          <m:t>3.5</m:t>
        </m:r>
        <m:r>
          <m:rPr>
            <m:sty m:val="p"/>
          </m:rPr>
          <m:t>−</m:t>
        </m:r>
      </m:oMath>
      <w:r>
        <w:rPr>
          <w:b/>
          <w:bCs/>
        </w:rPr>
        <w:t xml:space="preserve">3.9 billion</w:t>
      </w:r>
      <w:r>
        <w:t xml:space="preserve"> </w:t>
      </w:r>
      <w:r>
        <w:t xml:space="preserve">sequentially, partially offset by a</w:t>
      </w:r>
      <w:r>
        <w:t xml:space="preserve"> </w:t>
      </w:r>
      <m:oMath>
        <m:r>
          <m:t>0.6</m:t>
        </m:r>
        <m:r>
          <m:rPr>
            <m:sty m:val="p"/>
          </m:rPr>
          <m:t>−</m:t>
        </m:r>
      </m:oMath>
      <w:r>
        <w:rPr>
          <w:b/>
          <w:bCs/>
        </w:rPr>
        <w:t xml:space="preserve">0.8 billion</w:t>
      </w:r>
      <w:r>
        <w:t xml:space="preserve"> </w:t>
      </w:r>
      <w:r>
        <w:t xml:space="preserve">Middle East volume drag and as much as $0.2 billion of additional maintenance expense. (</w:t>
      </w:r>
      <w:hyperlink r:id="rId12">
        <w:r>
          <w:rPr>
            <w:rStyle w:val="Hyperlink"/>
          </w:rPr>
          <w:t xml:space="preserve">sec.gov</w:t>
        </w:r>
      </w:hyperlink>
      <w:r>
        <w:t xml:space="preserve">)</w:t>
      </w:r>
    </w:p>
    <w:p>
      <w:pPr>
        <w:pStyle w:val="BodyText"/>
      </w:pPr>
      <w:r>
        <w:t xml:space="preserve">The central operating question is whether growth in the</w:t>
      </w:r>
      <w:r>
        <w:t xml:space="preserve"> </w:t>
      </w:r>
      <w:r>
        <w:rPr>
          <w:b/>
          <w:bCs/>
        </w:rPr>
        <w:t xml:space="preserve">Permian and Guyana</w:t>
      </w:r>
      <w:r>
        <w:t xml:space="preserve"> </w:t>
      </w:r>
      <w:r>
        <w:t xml:space="preserve">offset enough of the disruption in Qatar, the UAE and elsewhere. First-quarter production was approximately</w:t>
      </w:r>
      <w:r>
        <w:t xml:space="preserve"> </w:t>
      </w:r>
      <w:r>
        <w:rPr>
          <w:b/>
          <w:bCs/>
        </w:rPr>
        <w:t xml:space="preserve">4.6 million oil-equivalent barrels per day</w:t>
      </w:r>
      <w:r>
        <w:t xml:space="preserve">, supported by record Guyana production and Permian growth but reduced by Middle East and Kazakhstan downtime. (</w:t>
      </w:r>
      <w:hyperlink r:id="rId15">
        <w:r>
          <w:rPr>
            <w:rStyle w:val="Hyperlink"/>
          </w:rPr>
          <w:t xml:space="preserve">investor.exxonmobil.com</w:t>
        </w:r>
      </w:hyperlink>
      <w:r>
        <w:t xml:space="preserve">)</w:t>
      </w:r>
    </w:p>
    <w:p>
      <w:pPr>
        <w:pStyle w:val="BodyText"/>
      </w:pPr>
      <w:r>
        <w:t xml:space="preserve">Key items to monitor:</w:t>
      </w:r>
    </w:p>
    <w:p>
      <w:pPr>
        <w:pStyle w:val="Compact"/>
        <w:numPr>
          <w:ilvl w:val="0"/>
          <w:numId w:val="1004"/>
        </w:numPr>
      </w:pPr>
      <w:r>
        <w:t xml:space="preserve">Progress toward</w:t>
      </w:r>
      <w:r>
        <w:t xml:space="preserve"> </w:t>
      </w:r>
      <w:r>
        <w:rPr>
          <w:b/>
          <w:bCs/>
        </w:rPr>
        <w:t xml:space="preserve">1.8 million boe/d of Permian production in 2026</w:t>
      </w:r>
    </w:p>
    <w:p>
      <w:pPr>
        <w:pStyle w:val="Compact"/>
        <w:numPr>
          <w:ilvl w:val="0"/>
          <w:numId w:val="1004"/>
        </w:numPr>
      </w:pPr>
      <w:r>
        <w:t xml:space="preserve">Guyana reliability and the timing of</w:t>
      </w:r>
      <w:r>
        <w:t xml:space="preserve"> </w:t>
      </w:r>
      <w:r>
        <w:rPr>
          <w:b/>
          <w:bCs/>
        </w:rPr>
        <w:t xml:space="preserve">Uaru first oil</w:t>
      </w:r>
    </w:p>
    <w:p>
      <w:pPr>
        <w:pStyle w:val="Compact"/>
        <w:numPr>
          <w:ilvl w:val="0"/>
          <w:numId w:val="1004"/>
        </w:numPr>
      </w:pPr>
      <w:r>
        <w:t xml:space="preserve">Recovery of Middle East production</w:t>
      </w:r>
    </w:p>
    <w:p>
      <w:pPr>
        <w:pStyle w:val="Compact"/>
        <w:numPr>
          <w:ilvl w:val="0"/>
          <w:numId w:val="1004"/>
        </w:numPr>
      </w:pPr>
      <w:r>
        <w:t xml:space="preserve">Kazakhstan downtime and other non-Middle East operational effects</w:t>
      </w:r>
    </w:p>
    <w:p>
      <w:pPr>
        <w:pStyle w:val="Compact"/>
        <w:numPr>
          <w:ilvl w:val="0"/>
          <w:numId w:val="1004"/>
        </w:numPr>
      </w:pPr>
      <w:r>
        <w:t xml:space="preserve">Whether higher prices caused unfavorable entitlement or production-sharing effects</w:t>
      </w:r>
    </w:p>
    <w:p>
      <w:pPr>
        <w:pStyle w:val="FirstParagraph"/>
      </w:pPr>
      <w:r>
        <w:t xml:space="preserve">A modest production miss would not necessarily undermine the quarter because commodity-price realizations are doing so much of the earnings work. However, weak production outside the Middle East would be a more concerning signal.</w:t>
      </w:r>
    </w:p>
    <w:bookmarkEnd w:id="16"/>
    <w:bookmarkStart w:id="17" w:name="Xfea55cac6b03d489b50865426abb97771a94325"/>
    <w:p>
      <w:pPr>
        <w:pStyle w:val="Heading3"/>
      </w:pPr>
      <w:r>
        <w:t xml:space="preserve">2. Energy Products: probably the most important segment</w:t>
      </w:r>
    </w:p>
    <w:p>
      <w:pPr>
        <w:pStyle w:val="FirstParagraph"/>
      </w:pPr>
      <w:r>
        <w:t xml:space="preserve">Energy Products should produce the largest sequential swing. Exxon indicated:</w:t>
      </w:r>
    </w:p>
    <w:p>
      <w:pPr>
        <w:pStyle w:val="Compact"/>
        <w:numPr>
          <w:ilvl w:val="0"/>
          <w:numId w:val="1005"/>
        </w:numPr>
      </w:pPr>
      <m:oMath>
        <m:r>
          <m:t>2.0</m:t>
        </m:r>
        <m:r>
          <m:rPr>
            <m:sty m:val="p"/>
          </m:rPr>
          <m:t>−</m:t>
        </m:r>
      </m:oMath>
      <w:r>
        <w:rPr>
          <w:b/>
          <w:bCs/>
        </w:rPr>
        <w:t xml:space="preserve">2.4 billion</w:t>
      </w:r>
      <w:r>
        <w:t xml:space="preserve"> </w:t>
      </w:r>
      <w:r>
        <w:t xml:space="preserve">of earnings improvement from margins</w:t>
      </w:r>
    </w:p>
    <w:p>
      <w:pPr>
        <w:pStyle w:val="Compact"/>
        <w:numPr>
          <w:ilvl w:val="0"/>
          <w:numId w:val="1005"/>
        </w:numPr>
      </w:pPr>
      <m:oMath>
        <m:r>
          <m:t>2.2</m:t>
        </m:r>
        <m:r>
          <m:rPr>
            <m:sty m:val="p"/>
          </m:rPr>
          <m:t>−</m:t>
        </m:r>
      </m:oMath>
      <w:r>
        <w:rPr>
          <w:b/>
          <w:bCs/>
        </w:rPr>
        <w:t xml:space="preserve">3.0 billion</w:t>
      </w:r>
      <w:r>
        <w:t xml:space="preserve"> </w:t>
      </w:r>
      <w:r>
        <w:t xml:space="preserve">of favorable timing effects</w:t>
      </w:r>
    </w:p>
    <w:p>
      <w:pPr>
        <w:pStyle w:val="Compact"/>
        <w:numPr>
          <w:ilvl w:val="0"/>
          <w:numId w:val="1005"/>
        </w:numPr>
      </w:pPr>
      <w:r>
        <w:t xml:space="preserve">A</w:t>
      </w:r>
      <w:r>
        <w:t xml:space="preserve"> </w:t>
      </w:r>
      <m:oMath>
        <m:r>
          <m:t>0.2</m:t>
        </m:r>
        <m:r>
          <m:rPr>
            <m:sty m:val="p"/>
          </m:rPr>
          <m:t>−</m:t>
        </m:r>
      </m:oMath>
      <w:r>
        <w:rPr>
          <w:b/>
          <w:bCs/>
        </w:rPr>
        <w:t xml:space="preserve">0.4 billion</w:t>
      </w:r>
      <w:r>
        <w:t xml:space="preserve"> </w:t>
      </w:r>
      <w:r>
        <w:t xml:space="preserve">maintenance headwind</w:t>
      </w:r>
    </w:p>
    <w:p>
      <w:pPr>
        <w:pStyle w:val="Compact"/>
        <w:numPr>
          <w:ilvl w:val="0"/>
          <w:numId w:val="1005"/>
        </w:numPr>
      </w:pPr>
      <w:r>
        <w:t xml:space="preserve">A</w:t>
      </w:r>
      <w:r>
        <w:t xml:space="preserve"> </w:t>
      </w:r>
      <m:oMath>
        <m:r>
          <m:t>0.2</m:t>
        </m:r>
        <m:r>
          <m:rPr>
            <m:sty m:val="p"/>
          </m:rPr>
          <m:t>−</m:t>
        </m:r>
      </m:oMath>
      <w:r>
        <w:rPr>
          <w:b/>
          <w:bCs/>
        </w:rPr>
        <w:t xml:space="preserve">0.4 billion</w:t>
      </w:r>
      <w:r>
        <w:t xml:space="preserve"> </w:t>
      </w:r>
      <w:r>
        <w:t xml:space="preserve">Middle East volume headwind</w:t>
      </w:r>
    </w:p>
    <w:p>
      <w:pPr>
        <w:pStyle w:val="Compact"/>
        <w:numPr>
          <w:ilvl w:val="0"/>
          <w:numId w:val="1005"/>
        </w:numPr>
      </w:pPr>
      <w:r>
        <w:t xml:space="preserve">Approximately</w:t>
      </w:r>
      <w:r>
        <w:t xml:space="preserve"> </w:t>
      </w:r>
      <m:oMath>
        <m:r>
          <m:t>0.8</m:t>
        </m:r>
        <m:r>
          <m:rPr>
            <m:sty m:val="p"/>
          </m:rPr>
          <m:t>−</m:t>
        </m:r>
      </m:oMath>
      <w:r>
        <w:rPr>
          <w:b/>
          <w:bCs/>
        </w:rPr>
        <w:t xml:space="preserve">1.0 billion</w:t>
      </w:r>
      <w:r>
        <w:t xml:space="preserve"> </w:t>
      </w:r>
      <w:r>
        <w:t xml:space="preserve">of impairments (</w:t>
      </w:r>
      <w:hyperlink r:id="rId12">
        <w:r>
          <w:rPr>
            <w:rStyle w:val="Hyperlink"/>
          </w:rPr>
          <w:t xml:space="preserve">sec.gov</w:t>
        </w:r>
      </w:hyperlink>
      <w:r>
        <w:t xml:space="preserve">)</w:t>
      </w:r>
    </w:p>
    <w:p>
      <w:pPr>
        <w:pStyle w:val="FirstParagraph"/>
      </w:pPr>
      <w:r>
        <w:t xml:space="preserve">The segment lost $1.3 billion under GAAP in 1Q but earned $2.8 billion on an adjusted basis. Consequently, a very large reported rebound is already well telegraphed. The real test is whether Exxon captured more than the mechanical margin uplift through refinery reliability, logistics optimization and trading.</w:t>
      </w:r>
    </w:p>
    <w:p>
      <w:pPr>
        <w:pStyle w:val="BodyText"/>
      </w:pPr>
      <w:r>
        <w:t xml:space="preserve">Questions for the call:</w:t>
      </w:r>
    </w:p>
    <w:p>
      <w:pPr>
        <w:pStyle w:val="Compact"/>
        <w:numPr>
          <w:ilvl w:val="0"/>
          <w:numId w:val="1006"/>
        </w:numPr>
      </w:pPr>
      <w:r>
        <w:t xml:space="preserve">How much of the downstream improvement came from physical refining versus trading?</w:t>
      </w:r>
    </w:p>
    <w:p>
      <w:pPr>
        <w:pStyle w:val="Compact"/>
        <w:numPr>
          <w:ilvl w:val="0"/>
          <w:numId w:val="1006"/>
        </w:numPr>
      </w:pPr>
      <w:r>
        <w:t xml:space="preserve">Did Gulf Coast refineries sustain the high utilization achieved late in 1Q?</w:t>
      </w:r>
    </w:p>
    <w:p>
      <w:pPr>
        <w:pStyle w:val="Compact"/>
        <w:numPr>
          <w:ilvl w:val="0"/>
          <w:numId w:val="1006"/>
        </w:numPr>
      </w:pPr>
      <w:r>
        <w:t xml:space="preserve">How much value did Exxon capture by rerouting crude and products around disrupted Middle East trade routes?</w:t>
      </w:r>
    </w:p>
    <w:p>
      <w:pPr>
        <w:pStyle w:val="Compact"/>
        <w:numPr>
          <w:ilvl w:val="0"/>
          <w:numId w:val="1006"/>
        </w:numPr>
      </w:pPr>
      <w:r>
        <w:t xml:space="preserve">Are current refining margins sustainable if crude flows normalize?</w:t>
      </w:r>
    </w:p>
    <w:p>
      <w:pPr>
        <w:pStyle w:val="FirstParagraph"/>
      </w:pPr>
      <w:r>
        <w:t xml:space="preserve">A strong underlying result excluding the timing benefit would be one of the clearest positive surprises available in this report.</w:t>
      </w:r>
    </w:p>
    <w:bookmarkEnd w:id="17"/>
    <w:bookmarkStart w:id="18" w:name="X18a1b122d53075106aa17c17c2fb6f49415ad92"/>
    <w:p>
      <w:pPr>
        <w:pStyle w:val="Heading3"/>
      </w:pPr>
      <w:r>
        <w:t xml:space="preserve">3. Chemicals: a potential underappreciated upside source</w:t>
      </w:r>
    </w:p>
    <w:p>
      <w:pPr>
        <w:pStyle w:val="FirstParagraph"/>
      </w:pPr>
      <w:r>
        <w:t xml:space="preserve">Exxon expects Chemical Products margins to add</w:t>
      </w:r>
      <w:r>
        <w:t xml:space="preserve"> </w:t>
      </w:r>
      <m:oMath>
        <m:r>
          <m:t>1.0</m:t>
        </m:r>
        <m:r>
          <m:rPr>
            <m:sty m:val="p"/>
          </m:rPr>
          <m:t>−</m:t>
        </m:r>
      </m:oMath>
      <w:r>
        <w:rPr>
          <w:b/>
          <w:bCs/>
        </w:rPr>
        <w:t xml:space="preserve">1.2 billion</w:t>
      </w:r>
      <w:r>
        <w:t xml:space="preserve"> </w:t>
      </w:r>
      <w:r>
        <w:t xml:space="preserve">sequentially. That is meaningful relative to the segment’s modest $0.1 billion of 1Q earnings. (</w:t>
      </w:r>
      <w:hyperlink r:id="rId12">
        <w:r>
          <w:rPr>
            <w:rStyle w:val="Hyperlink"/>
          </w:rPr>
          <w:t xml:space="preserve">sec.gov</w:t>
        </w:r>
      </w:hyperlink>
      <w:r>
        <w:t xml:space="preserve">)</w:t>
      </w:r>
    </w:p>
    <w:p>
      <w:pPr>
        <w:pStyle w:val="BodyText"/>
      </w:pPr>
      <w:r>
        <w:t xml:space="preserve">In 1Q, chemical margins remained near the bottom of the cycle because higher feedstock costs—particularly in Asia—compressed profitability. Exxon’s North American gas-based facilities should have an advantage when global oil-linked feedstock prices remain elevated. A chemical result materially above the indicated margin bridge would signal both better market conditions and improved portfolio quality.</w:t>
      </w:r>
    </w:p>
    <w:p>
      <w:pPr>
        <w:pStyle w:val="BodyText"/>
      </w:pPr>
      <w:r>
        <w:t xml:space="preserve">Investors should watch whether management describes the improvement as:</w:t>
      </w:r>
    </w:p>
    <w:p>
      <w:pPr>
        <w:pStyle w:val="Compact"/>
        <w:numPr>
          <w:ilvl w:val="0"/>
          <w:numId w:val="1007"/>
        </w:numPr>
      </w:pPr>
      <w:r>
        <w:t xml:space="preserve">A cyclical rebound from depressed conditions</w:t>
      </w:r>
    </w:p>
    <w:p>
      <w:pPr>
        <w:pStyle w:val="Compact"/>
        <w:numPr>
          <w:ilvl w:val="0"/>
          <w:numId w:val="1007"/>
        </w:numPr>
      </w:pPr>
      <w:r>
        <w:t xml:space="preserve">A temporary feedstock advantage</w:t>
      </w:r>
    </w:p>
    <w:p>
      <w:pPr>
        <w:pStyle w:val="Compact"/>
        <w:numPr>
          <w:ilvl w:val="0"/>
          <w:numId w:val="1007"/>
        </w:numPr>
      </w:pPr>
      <w:r>
        <w:t xml:space="preserve">Or evidence that new capacity and higher-value products are structurally lifting earnings</w:t>
      </w:r>
    </w:p>
    <w:bookmarkEnd w:id="18"/>
    <w:bookmarkStart w:id="19" w:name="Xd8b153466c67c9f8e573f860d46f9e3372477e0"/>
    <w:p>
      <w:pPr>
        <w:pStyle w:val="Heading3"/>
      </w:pPr>
      <w:r>
        <w:t xml:space="preserve">4. Specialty Products: smaller, but strategically important</w:t>
      </w:r>
    </w:p>
    <w:p>
      <w:pPr>
        <w:pStyle w:val="FirstParagraph"/>
      </w:pPr>
      <w:r>
        <w:t xml:space="preserve">Exxon expects Specialty Products margins to contribute another</w:t>
      </w:r>
      <w:r>
        <w:t xml:space="preserve"> </w:t>
      </w:r>
      <m:oMath>
        <m:r>
          <m:t>0.3</m:t>
        </m:r>
        <m:r>
          <m:rPr>
            <m:sty m:val="p"/>
          </m:rPr>
          <m:t>−</m:t>
        </m:r>
      </m:oMath>
      <w:r>
        <w:rPr>
          <w:b/>
          <w:bCs/>
        </w:rPr>
        <w:t xml:space="preserve">0.5 billion</w:t>
      </w:r>
      <w:r>
        <w:t xml:space="preserve"> </w:t>
      </w:r>
      <w:r>
        <w:t xml:space="preserve">sequentially, partly offset by a</w:t>
      </w:r>
      <w:r>
        <w:t xml:space="preserve"> </w:t>
      </w:r>
      <m:oMath>
        <m:r>
          <m:t>0.1</m:t>
        </m:r>
        <m:r>
          <m:rPr>
            <m:sty m:val="p"/>
          </m:rPr>
          <m:t>−</m:t>
        </m:r>
      </m:oMath>
      <w:r>
        <w:rPr>
          <w:b/>
          <w:bCs/>
        </w:rPr>
        <w:t xml:space="preserve">0.3 billion</w:t>
      </w:r>
      <w:r>
        <w:t xml:space="preserve"> </w:t>
      </w:r>
      <w:r>
        <w:t xml:space="preserve">Middle East volume impact. (</w:t>
      </w:r>
      <w:hyperlink r:id="rId12">
        <w:r>
          <w:rPr>
            <w:rStyle w:val="Hyperlink"/>
          </w:rPr>
          <w:t xml:space="preserve">sec.gov</w:t>
        </w:r>
      </w:hyperlink>
      <w:r>
        <w:t xml:space="preserve">)</w:t>
      </w:r>
    </w:p>
    <w:p>
      <w:pPr>
        <w:pStyle w:val="BodyText"/>
      </w:pPr>
      <w:r>
        <w:t xml:space="preserve">This business is less commodity-sensitive and therefore provides a useful read on Exxon’s strategy of increasing earnings from differentiated lubricants, basestocks and performance products. Sustained earnings near or above $1 billion would strengthen the argument that Product Solutions is becoming less dependent on conventional refining cycles.</w:t>
      </w:r>
    </w:p>
    <w:bookmarkEnd w:id="19"/>
    <w:bookmarkEnd w:id="20"/>
    <w:bookmarkStart w:id="21" w:name="X02d265c7265927b9d0f3580cc4cefd606b45cff"/>
    <w:p>
      <w:pPr>
        <w:pStyle w:val="Heading2"/>
      </w:pPr>
      <w:r>
        <w:t xml:space="preserve">Cash flow and capital allocation may determine the stock reaction</w:t>
      </w:r>
    </w:p>
    <w:p>
      <w:pPr>
        <w:pStyle w:val="FirstParagraph"/>
      </w:pPr>
      <w:r>
        <w:t xml:space="preserve">The quarter should generate substantial cash, but the conversion of earnings into free cash flow will be closely scrutinized. In 1Q, Exxon generated</w:t>
      </w:r>
      <w:r>
        <w:t xml:space="preserve"> </w:t>
      </w:r>
      <w:r>
        <w:rPr>
          <w:b/>
          <w:bCs/>
        </w:rPr>
        <w:t xml:space="preserve">$8.7 billion of operating cash flow</w:t>
      </w:r>
      <w:r>
        <w:t xml:space="preserve">, spent approximately $6.2 billion on cash capital expenditures, paid $4.3 billion of dividends and repurchased approximately $4.9 billion of stock. (</w:t>
      </w:r>
      <w:hyperlink r:id="rId15">
        <w:r>
          <w:rPr>
            <w:rStyle w:val="Hyperlink"/>
          </w:rPr>
          <w:t xml:space="preserve">investor.exxonmobil.com</w:t>
        </w:r>
      </w:hyperlink>
      <w:r>
        <w:t xml:space="preserve">)</w:t>
      </w:r>
    </w:p>
    <w:p>
      <w:pPr>
        <w:pStyle w:val="BodyText"/>
      </w:pPr>
      <w:r>
        <w:t xml:space="preserve">Going into the report, management’s framework includes:</w:t>
      </w:r>
    </w:p>
    <w:p>
      <w:pPr>
        <w:pStyle w:val="Compact"/>
        <w:numPr>
          <w:ilvl w:val="0"/>
          <w:numId w:val="1008"/>
        </w:numPr>
      </w:pPr>
      <m:oMath>
        <m:r>
          <m:t>27</m:t>
        </m:r>
        <m:r>
          <m:rPr>
            <m:sty m:val="p"/>
          </m:rPr>
          <m:t>−</m:t>
        </m:r>
      </m:oMath>
      <w:r>
        <w:rPr>
          <w:b/>
          <w:bCs/>
        </w:rPr>
        <w:t xml:space="preserve">29 billion of 2026 cash capex</w:t>
      </w:r>
    </w:p>
    <w:p>
      <w:pPr>
        <w:pStyle w:val="Compact"/>
        <w:numPr>
          <w:ilvl w:val="0"/>
          <w:numId w:val="1008"/>
        </w:numPr>
      </w:pPr>
      <w:r>
        <w:t xml:space="preserve">Approximately</w:t>
      </w:r>
      <w:r>
        <w:t xml:space="preserve"> </w:t>
      </w:r>
      <w:r>
        <w:rPr>
          <w:b/>
          <w:bCs/>
        </w:rPr>
        <w:t xml:space="preserve">$20 billion of annual share repurchases</w:t>
      </w:r>
      <w:r>
        <w:t xml:space="preserve">, subject to market conditions</w:t>
      </w:r>
    </w:p>
    <w:p>
      <w:pPr>
        <w:pStyle w:val="Compact"/>
        <w:numPr>
          <w:ilvl w:val="0"/>
          <w:numId w:val="1008"/>
        </w:numPr>
      </w:pPr>
      <w:r>
        <w:t xml:space="preserve">Continued dividend growth</w:t>
      </w:r>
    </w:p>
    <w:p>
      <w:pPr>
        <w:pStyle w:val="Compact"/>
        <w:numPr>
          <w:ilvl w:val="0"/>
          <w:numId w:val="1008"/>
        </w:numPr>
      </w:pPr>
      <w:r>
        <w:t xml:space="preserve">Investment in Guyana, the Permian, LNG and advantaged Product Solutions projects</w:t>
      </w:r>
    </w:p>
    <w:p>
      <w:pPr>
        <w:pStyle w:val="FirstParagraph"/>
      </w:pPr>
      <w:r>
        <w:t xml:space="preserve">The likely windfall creates several questions:</w:t>
      </w:r>
    </w:p>
    <w:p>
      <w:pPr>
        <w:numPr>
          <w:ilvl w:val="0"/>
          <w:numId w:val="1009"/>
        </w:numPr>
      </w:pPr>
      <w:r>
        <w:rPr>
          <w:b/>
          <w:bCs/>
        </w:rPr>
        <w:t xml:space="preserve">Will Exxon accelerate repurchases?</w:t>
      </w:r>
      <w:r>
        <w:br/>
      </w:r>
      <w:r>
        <w:t xml:space="preserve">Maintaining the existing pace may be viewed as disciplined, particularly after the stock’s strong run. A material increase would signal confidence but could raise concerns about buying back shares at a higher valuation.</w:t>
      </w:r>
    </w:p>
    <w:p>
      <w:pPr>
        <w:numPr>
          <w:ilvl w:val="0"/>
          <w:numId w:val="1009"/>
        </w:numPr>
      </w:pPr>
      <w:r>
        <w:rPr>
          <w:b/>
          <w:bCs/>
        </w:rPr>
        <w:t xml:space="preserve">Will management rebuild cash and reduce short-term debt?</w:t>
      </w:r>
      <w:r>
        <w:br/>
      </w:r>
      <w:r>
        <w:t xml:space="preserve">Exxon’s cash balance declined and total debt increased during 1Q, partly reflecting the unusual commodity and derivative environment.</w:t>
      </w:r>
    </w:p>
    <w:p>
      <w:pPr>
        <w:numPr>
          <w:ilvl w:val="0"/>
          <w:numId w:val="1009"/>
        </w:numPr>
      </w:pPr>
      <w:r>
        <w:rPr>
          <w:b/>
          <w:bCs/>
        </w:rPr>
        <w:t xml:space="preserve">Will higher prices change spending?</w:t>
      </w:r>
      <w:r>
        <w:br/>
      </w:r>
      <w:r>
        <w:t xml:space="preserve">Investors will want management to reaffirm that activity decisions remain return-driven rather than responding mechanically to higher oil prices.</w:t>
      </w:r>
    </w:p>
    <w:p>
      <w:pPr>
        <w:numPr>
          <w:ilvl w:val="0"/>
          <w:numId w:val="1009"/>
        </w:numPr>
      </w:pPr>
      <w:r>
        <w:rPr>
          <w:b/>
          <w:bCs/>
        </w:rPr>
        <w:t xml:space="preserve">Are there new acquisition ambitions?</w:t>
      </w:r>
      <w:r>
        <w:br/>
      </w:r>
      <w:r>
        <w:t xml:space="preserve">With a stronger balance sheet and greater cash generation, management may face questions about Venezuela, heavy oil, LNG or other resource opportunities.</w:t>
      </w:r>
    </w:p>
    <w:bookmarkEnd w:id="21"/>
    <w:bookmarkStart w:id="22" w:name="X9ef8969cf530c3e5ce38016ff73b990eb0efa4e"/>
    <w:p>
      <w:pPr>
        <w:pStyle w:val="Heading2"/>
      </w:pPr>
      <w:r>
        <w:t xml:space="preserve">Middle East exposure remains the largest risk</w:t>
      </w:r>
    </w:p>
    <w:p>
      <w:pPr>
        <w:pStyle w:val="FirstParagraph"/>
      </w:pPr>
      <w:r>
        <w:t xml:space="preserve">Middle East disruption benefits Exxon through higher prices and margins but hurts it through lost production, reduced manufacturing throughput, shipping complications and damage to assets. The company estimated a combined</w:t>
      </w:r>
      <w:r>
        <w:t xml:space="preserve"> </w:t>
      </w:r>
      <m:oMath>
        <m:r>
          <m:t>1.0</m:t>
        </m:r>
        <m:r>
          <m:rPr>
            <m:sty m:val="p"/>
          </m:rPr>
          <m:t>−</m:t>
        </m:r>
      </m:oMath>
      <w:r>
        <w:rPr>
          <w:b/>
          <w:bCs/>
        </w:rPr>
        <w:t xml:space="preserve">1.4 billion</w:t>
      </w:r>
      <w:r>
        <w:t xml:space="preserve"> </w:t>
      </w:r>
      <w:r>
        <w:t xml:space="preserve">sequential volume-related earnings drag across its businesses in 2Q. (</w:t>
      </w:r>
      <w:hyperlink r:id="rId12">
        <w:r>
          <w:rPr>
            <w:rStyle w:val="Hyperlink"/>
          </w:rPr>
          <w:t xml:space="preserve">sec.gov</w:t>
        </w:r>
      </w:hyperlink>
      <w:r>
        <w:t xml:space="preserve">)</w:t>
      </w:r>
    </w:p>
    <w:p>
      <w:pPr>
        <w:pStyle w:val="BodyText"/>
      </w:pPr>
      <w:r>
        <w:t xml:space="preserve">The key issue is not merely the reported 2Q impact, but management’s outlook for normalization:</w:t>
      </w:r>
    </w:p>
    <w:p>
      <w:pPr>
        <w:pStyle w:val="Compact"/>
        <w:numPr>
          <w:ilvl w:val="0"/>
          <w:numId w:val="1010"/>
        </w:numPr>
      </w:pPr>
      <w:r>
        <w:t xml:space="preserve">Timing of Qatar and UAE production recovery</w:t>
      </w:r>
    </w:p>
    <w:p>
      <w:pPr>
        <w:pStyle w:val="Compact"/>
        <w:numPr>
          <w:ilvl w:val="0"/>
          <w:numId w:val="1010"/>
        </w:numPr>
      </w:pPr>
      <w:r>
        <w:t xml:space="preserve">Repair plans for damaged Qatar LNG trains</w:t>
      </w:r>
    </w:p>
    <w:p>
      <w:pPr>
        <w:pStyle w:val="Compact"/>
        <w:numPr>
          <w:ilvl w:val="0"/>
          <w:numId w:val="1010"/>
        </w:numPr>
      </w:pPr>
      <w:r>
        <w:t xml:space="preserve">Availability and cost of shipping and insurance</w:t>
      </w:r>
    </w:p>
    <w:p>
      <w:pPr>
        <w:pStyle w:val="Compact"/>
        <w:numPr>
          <w:ilvl w:val="0"/>
          <w:numId w:val="1010"/>
        </w:numPr>
      </w:pPr>
      <w:r>
        <w:t xml:space="preserve">Ability to source crude for non-Middle East refineries</w:t>
      </w:r>
    </w:p>
    <w:p>
      <w:pPr>
        <w:pStyle w:val="Compact"/>
        <w:numPr>
          <w:ilvl w:val="0"/>
          <w:numId w:val="1010"/>
        </w:numPr>
      </w:pPr>
      <w:r>
        <w:t xml:space="preserve">Potential second-half derivative and working-capital volatility</w:t>
      </w:r>
    </w:p>
    <w:p>
      <w:pPr>
        <w:pStyle w:val="FirstParagraph"/>
      </w:pPr>
      <w:r>
        <w:t xml:space="preserve">Any indication that damaged Qatar capacity will remain offline longer than expected, or that Exxon must commit substantial capital without attractive contract extensions, would temper enthusiasm around the earnings windfall.</w:t>
      </w:r>
    </w:p>
    <w:bookmarkEnd w:id="22"/>
    <w:bookmarkStart w:id="23" w:name="projects-and-guidance"/>
    <w:p>
      <w:pPr>
        <w:pStyle w:val="Heading2"/>
      </w:pPr>
      <w:r>
        <w:t xml:space="preserve">Projects and guidance</w:t>
      </w:r>
    </w:p>
    <w:p>
      <w:pPr>
        <w:pStyle w:val="FirstParagraph"/>
      </w:pPr>
      <w:r>
        <w:t xml:space="preserve">Beyond the quarter, investors should look for confirmation of the principal operating milestones discussed in May:</w:t>
      </w:r>
    </w:p>
    <w:p>
      <w:pPr>
        <w:pStyle w:val="Compact"/>
        <w:numPr>
          <w:ilvl w:val="0"/>
          <w:numId w:val="1011"/>
        </w:numPr>
      </w:pPr>
      <w:r>
        <w:t xml:space="preserve">Permian production on track for approximately</w:t>
      </w:r>
      <w:r>
        <w:t xml:space="preserve"> </w:t>
      </w:r>
      <w:r>
        <w:rPr>
          <w:b/>
          <w:bCs/>
        </w:rPr>
        <w:t xml:space="preserve">1.8 million boe/d in 2026</w:t>
      </w:r>
    </w:p>
    <w:p>
      <w:pPr>
        <w:pStyle w:val="Compact"/>
        <w:numPr>
          <w:ilvl w:val="0"/>
          <w:numId w:val="1011"/>
        </w:numPr>
      </w:pPr>
      <w:r>
        <w:t xml:space="preserve">Continued record or near-record Guyana performance</w:t>
      </w:r>
    </w:p>
    <w:p>
      <w:pPr>
        <w:pStyle w:val="Compact"/>
        <w:numPr>
          <w:ilvl w:val="0"/>
          <w:numId w:val="1011"/>
        </w:numPr>
      </w:pPr>
      <w:r>
        <w:t xml:space="preserve">Uaru expected to begin production late in 2026</w:t>
      </w:r>
    </w:p>
    <w:p>
      <w:pPr>
        <w:pStyle w:val="Compact"/>
        <w:numPr>
          <w:ilvl w:val="0"/>
          <w:numId w:val="1011"/>
        </w:numPr>
      </w:pPr>
      <w:r>
        <w:t xml:space="preserve">Golden Pass LNG Train 2 targeted for mechanical completion by year-end</w:t>
      </w:r>
    </w:p>
    <w:p>
      <w:pPr>
        <w:pStyle w:val="Compact"/>
        <w:numPr>
          <w:ilvl w:val="0"/>
          <w:numId w:val="1011"/>
        </w:numPr>
      </w:pPr>
      <w:r>
        <w:t xml:space="preserve">Golden Pass Train 3 targeted for mechanical completion around 2Q27</w:t>
      </w:r>
    </w:p>
    <w:p>
      <w:pPr>
        <w:pStyle w:val="Compact"/>
        <w:numPr>
          <w:ilvl w:val="0"/>
          <w:numId w:val="1011"/>
        </w:numPr>
      </w:pPr>
      <w:r>
        <w:t xml:space="preserve">Potential final investment decisions for Mozambique and Papua New Guinea LNG later this year</w:t>
      </w:r>
    </w:p>
    <w:p>
      <w:pPr>
        <w:pStyle w:val="FirstParagraph"/>
      </w:pPr>
      <w:r>
        <w:t xml:space="preserve">The report becomes more bullish if Exxon can reaffirm these milestones without increasing its</w:t>
      </w:r>
      <w:r>
        <w:t xml:space="preserve"> </w:t>
      </w:r>
      <m:oMath>
        <m:r>
          <m:t>27</m:t>
        </m:r>
        <m:r>
          <m:rPr>
            <m:sty m:val="p"/>
          </m:rPr>
          <m:t>−</m:t>
        </m:r>
      </m:oMath>
      <w:r>
        <w:t xml:space="preserve">29 billion capital budget.</w:t>
      </w:r>
    </w:p>
    <w:bookmarkEnd w:id="23"/>
    <w:bookmarkStart w:id="27" w:name="potential-share-price-scenarios"/>
    <w:p>
      <w:pPr>
        <w:pStyle w:val="Heading2"/>
      </w:pPr>
      <w:r>
        <w:t xml:space="preserve">Potential share-price scenarios</w:t>
      </w:r>
    </w:p>
    <w:bookmarkStart w:id="24" w:name="bull-case"/>
    <w:p>
      <w:pPr>
        <w:pStyle w:val="Heading3"/>
      </w:pPr>
      <w:r>
        <w:t xml:space="preserve">Bull case</w:t>
      </w:r>
    </w:p>
    <w:p>
      <w:pPr>
        <w:pStyle w:val="Compact"/>
        <w:numPr>
          <w:ilvl w:val="0"/>
          <w:numId w:val="1012"/>
        </w:numPr>
      </w:pPr>
      <w:r>
        <w:t xml:space="preserve">Adjusted earnings above roughly</w:t>
      </w:r>
      <w:r>
        <w:t xml:space="preserve"> </w:t>
      </w:r>
      <w:r>
        <w:rPr>
          <w:b/>
          <w:bCs/>
        </w:rPr>
        <w:t xml:space="preserve">$16 billion</w:t>
      </w:r>
    </w:p>
    <w:p>
      <w:pPr>
        <w:pStyle w:val="Compact"/>
        <w:numPr>
          <w:ilvl w:val="0"/>
          <w:numId w:val="1012"/>
        </w:numPr>
      </w:pPr>
      <w:r>
        <w:t xml:space="preserve">Strong free-cash-flow conversion</w:t>
      </w:r>
    </w:p>
    <w:p>
      <w:pPr>
        <w:pStyle w:val="Compact"/>
        <w:numPr>
          <w:ilvl w:val="0"/>
          <w:numId w:val="1012"/>
        </w:numPr>
      </w:pPr>
      <w:r>
        <w:t xml:space="preserve">Energy Products outperforms even after removing timing effects</w:t>
      </w:r>
    </w:p>
    <w:p>
      <w:pPr>
        <w:pStyle w:val="Compact"/>
        <w:numPr>
          <w:ilvl w:val="0"/>
          <w:numId w:val="1012"/>
        </w:numPr>
      </w:pPr>
      <w:r>
        <w:t xml:space="preserve">Permian and Guyana volumes offset non-Middle East downtime</w:t>
      </w:r>
    </w:p>
    <w:p>
      <w:pPr>
        <w:pStyle w:val="Compact"/>
        <w:numPr>
          <w:ilvl w:val="0"/>
          <w:numId w:val="1012"/>
        </w:numPr>
      </w:pPr>
      <w:r>
        <w:t xml:space="preserve">$20 billion buyback pace reaffirmed or increased</w:t>
      </w:r>
    </w:p>
    <w:p>
      <w:pPr>
        <w:pStyle w:val="Compact"/>
        <w:numPr>
          <w:ilvl w:val="0"/>
          <w:numId w:val="1012"/>
        </w:numPr>
      </w:pPr>
      <w:r>
        <w:t xml:space="preserve">2026 capex and production guidance maintained</w:t>
      </w:r>
    </w:p>
    <w:bookmarkEnd w:id="24"/>
    <w:bookmarkStart w:id="25" w:name="base-case"/>
    <w:p>
      <w:pPr>
        <w:pStyle w:val="Heading3"/>
      </w:pPr>
      <w:r>
        <w:t xml:space="preserve">Base case</w:t>
      </w:r>
    </w:p>
    <w:p>
      <w:pPr>
        <w:pStyle w:val="Compact"/>
        <w:numPr>
          <w:ilvl w:val="0"/>
          <w:numId w:val="1013"/>
        </w:numPr>
      </w:pPr>
      <w:r>
        <w:t xml:space="preserve">Adjusted earnings around</w:t>
      </w:r>
      <w:r>
        <w:t xml:space="preserve"> </w:t>
      </w:r>
      <m:oMath>
        <m:r>
          <m:t>15</m:t>
        </m:r>
        <m:r>
          <m:rPr>
            <m:sty m:val="p"/>
          </m:rPr>
          <m:t>−</m:t>
        </m:r>
      </m:oMath>
      <w:r>
        <w:rPr>
          <w:b/>
          <w:bCs/>
        </w:rPr>
        <w:t xml:space="preserve">16 billion</w:t>
      </w:r>
    </w:p>
    <w:p>
      <w:pPr>
        <w:pStyle w:val="Compact"/>
        <w:numPr>
          <w:ilvl w:val="0"/>
          <w:numId w:val="1013"/>
        </w:numPr>
      </w:pPr>
      <w:r>
        <w:t xml:space="preserve">GAAP results complicated by offsetting timing benefits and charges</w:t>
      </w:r>
    </w:p>
    <w:p>
      <w:pPr>
        <w:pStyle w:val="Compact"/>
        <w:numPr>
          <w:ilvl w:val="0"/>
          <w:numId w:val="1013"/>
        </w:numPr>
      </w:pPr>
      <w:r>
        <w:t xml:space="preserve">Production modestly constrained by the Middle East</w:t>
      </w:r>
    </w:p>
    <w:p>
      <w:pPr>
        <w:pStyle w:val="Compact"/>
        <w:numPr>
          <w:ilvl w:val="0"/>
          <w:numId w:val="1013"/>
        </w:numPr>
      </w:pPr>
      <w:r>
        <w:t xml:space="preserve">Strong refining and chemical recovery</w:t>
      </w:r>
    </w:p>
    <w:p>
      <w:pPr>
        <w:pStyle w:val="Compact"/>
        <w:numPr>
          <w:ilvl w:val="0"/>
          <w:numId w:val="1013"/>
        </w:numPr>
      </w:pPr>
      <w:r>
        <w:t xml:space="preserve">Existing capex and shareholder-return plans reaffirmed</w:t>
      </w:r>
    </w:p>
    <w:bookmarkEnd w:id="25"/>
    <w:bookmarkStart w:id="26" w:name="bear-case"/>
    <w:p>
      <w:pPr>
        <w:pStyle w:val="Heading3"/>
      </w:pPr>
      <w:r>
        <w:t xml:space="preserve">Bear case</w:t>
      </w:r>
    </w:p>
    <w:p>
      <w:pPr>
        <w:pStyle w:val="Compact"/>
        <w:numPr>
          <w:ilvl w:val="0"/>
          <w:numId w:val="1014"/>
        </w:numPr>
      </w:pPr>
      <w:r>
        <w:t xml:space="preserve">Earnings meet expectations but cash flow lags because of working capital, taxes or margin postings</w:t>
      </w:r>
    </w:p>
    <w:p>
      <w:pPr>
        <w:pStyle w:val="Compact"/>
        <w:numPr>
          <w:ilvl w:val="0"/>
          <w:numId w:val="1014"/>
        </w:numPr>
      </w:pPr>
      <w:r>
        <w:t xml:space="preserve">Downstream strength is mostly an accounting reversal</w:t>
      </w:r>
    </w:p>
    <w:p>
      <w:pPr>
        <w:pStyle w:val="Compact"/>
        <w:numPr>
          <w:ilvl w:val="0"/>
          <w:numId w:val="1014"/>
        </w:numPr>
      </w:pPr>
      <w:r>
        <w:t xml:space="preserve">Production misses outside the Middle East</w:t>
      </w:r>
    </w:p>
    <w:p>
      <w:pPr>
        <w:pStyle w:val="Compact"/>
        <w:numPr>
          <w:ilvl w:val="0"/>
          <w:numId w:val="1014"/>
        </w:numPr>
      </w:pPr>
      <w:r>
        <w:t xml:space="preserve">Higher repair costs or a longer outage outlook in Qatar</w:t>
      </w:r>
    </w:p>
    <w:p>
      <w:pPr>
        <w:pStyle w:val="Compact"/>
        <w:numPr>
          <w:ilvl w:val="0"/>
          <w:numId w:val="1014"/>
        </w:numPr>
      </w:pPr>
      <w:r>
        <w:t xml:space="preserve">Management signals that the commodity windfall will be absorbed by higher capital spending or acquisitions</w:t>
      </w:r>
    </w:p>
    <w:bookmarkEnd w:id="26"/>
    <w:bookmarkEnd w:id="27"/>
    <w:bookmarkStart w:id="28" w:name="bottom-line"/>
    <w:p>
      <w:pPr>
        <w:pStyle w:val="Heading2"/>
      </w:pPr>
      <w:r>
        <w:t xml:space="preserve">Bottom line</w:t>
      </w:r>
    </w:p>
    <w:p>
      <w:pPr>
        <w:pStyle w:val="FirstParagraph"/>
      </w:pPr>
      <w:r>
        <w:t xml:space="preserve">Expectations are already high. Exxon has effectively pre-announced a large earnings rebound, and investors understand that the quarter benefited from elevated crude prices, stronger downstream margins and the reversal of 1Q timing effects.</w:t>
      </w:r>
    </w:p>
    <w:p>
      <w:pPr>
        <w:pStyle w:val="BodyText"/>
      </w:pPr>
      <w:r>
        <w:t xml:space="preserve">Therefore,</w:t>
      </w:r>
      <w:r>
        <w:t xml:space="preserve"> </w:t>
      </w:r>
      <w:r>
        <w:rPr>
          <w:b/>
          <w:bCs/>
        </w:rPr>
        <w:t xml:space="preserve">a simple EPS beat may not be enough</w:t>
      </w:r>
      <w:r>
        <w:t xml:space="preserve">. The most important indicators will be:</w:t>
      </w:r>
    </w:p>
    <w:p>
      <w:pPr>
        <w:pStyle w:val="Compact"/>
        <w:numPr>
          <w:ilvl w:val="0"/>
          <w:numId w:val="1015"/>
        </w:numPr>
      </w:pPr>
      <w:r>
        <w:rPr>
          <w:b/>
          <w:bCs/>
        </w:rPr>
        <w:t xml:space="preserve">Underlying Energy Products earnings excluding timing effects</w:t>
      </w:r>
    </w:p>
    <w:p>
      <w:pPr>
        <w:pStyle w:val="Compact"/>
        <w:numPr>
          <w:ilvl w:val="0"/>
          <w:numId w:val="1015"/>
        </w:numPr>
      </w:pPr>
      <w:r>
        <w:rPr>
          <w:b/>
          <w:bCs/>
        </w:rPr>
        <w:t xml:space="preserve">Cash flow and working-capital conversion</w:t>
      </w:r>
    </w:p>
    <w:p>
      <w:pPr>
        <w:pStyle w:val="Compact"/>
        <w:numPr>
          <w:ilvl w:val="0"/>
          <w:numId w:val="1015"/>
        </w:numPr>
      </w:pPr>
      <w:r>
        <w:rPr>
          <w:b/>
          <w:bCs/>
        </w:rPr>
        <w:t xml:space="preserve">Permian and Guyana operating performance</w:t>
      </w:r>
    </w:p>
    <w:p>
      <w:pPr>
        <w:pStyle w:val="Compact"/>
        <w:numPr>
          <w:ilvl w:val="0"/>
          <w:numId w:val="1015"/>
        </w:numPr>
      </w:pPr>
      <w:r>
        <w:rPr>
          <w:b/>
          <w:bCs/>
        </w:rPr>
        <w:t xml:space="preserve">The second-half Middle East production outlook</w:t>
      </w:r>
    </w:p>
    <w:p>
      <w:pPr>
        <w:pStyle w:val="Compact"/>
        <w:numPr>
          <w:ilvl w:val="0"/>
          <w:numId w:val="1015"/>
        </w:numPr>
      </w:pPr>
      <w:r>
        <w:rPr>
          <w:b/>
          <w:bCs/>
        </w:rPr>
        <w:t xml:space="preserve">Discipline in deploying the cash windfall</w:t>
      </w:r>
    </w:p>
    <w:p>
      <w:pPr>
        <w:pStyle w:val="FirstParagraph"/>
      </w:pPr>
      <w:r>
        <w:t xml:space="preserve">The best outcome would be a quarter showing that Exxon did more than passively benefit from higher commodity prices—that its integrated portfolio, refinery system, trading organization and advantaged growth assets allowed it to capture the disruption better than peers while preserving capital discipline.</w:t>
      </w:r>
    </w:p>
    <w:bookmarkEnd w:id="28"/>
    <w:bookmarkEnd w:id="2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1"/>
  </w:num>
  <w:num w:numId="1012">
    <w:abstractNumId w:val="991"/>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9" Target="https://investor.exxonmobil.com/company-information/press-releases/detail/1207/exxonmobil-to-release-second-quarter-2026-financial-results?utm_source=openai" TargetMode="External" /><Relationship Type="http://schemas.openxmlformats.org/officeDocument/2006/relationships/hyperlink" Id="rId15" Target="https://investor.exxonmobil.com/sec-filings/all-sec-filings/content/0000034088-26-000067/xom-20260331.htm" TargetMode="External" /><Relationship Type="http://schemas.openxmlformats.org/officeDocument/2006/relationships/hyperlink" Id="rId10" Target="https://www.benzinga.com/quote/xom/earnings" TargetMode="External" /><Relationship Type="http://schemas.openxmlformats.org/officeDocument/2006/relationships/hyperlink" Id="rId12" Target="https://www.sec.gov/Archives/edgar/data/2115436/000211543626000003/f8k2q991070726.htm" TargetMode="External" /></Relationships>
</file>

<file path=word/_rels/footnotes.xml.rels><?xml version="1.0" encoding="UTF-8"?><Relationships xmlns="http://schemas.openxmlformats.org/package/2006/relationships"><Relationship Type="http://schemas.openxmlformats.org/officeDocument/2006/relationships/hyperlink" Id="rId9" Target="https://investor.exxonmobil.com/company-information/press-releases/detail/1207/exxonmobil-to-release-second-quarter-2026-financial-results?utm_source=openai" TargetMode="External" /><Relationship Type="http://schemas.openxmlformats.org/officeDocument/2006/relationships/hyperlink" Id="rId15" Target="https://investor.exxonmobil.com/sec-filings/all-sec-filings/content/0000034088-26-000067/xom-20260331.htm" TargetMode="External" /><Relationship Type="http://schemas.openxmlformats.org/officeDocument/2006/relationships/hyperlink" Id="rId10" Target="https://www.benzinga.com/quote/xom/earnings" TargetMode="External" /><Relationship Type="http://schemas.openxmlformats.org/officeDocument/2006/relationships/hyperlink" Id="rId12" Target="https://www.sec.gov/Archives/edgar/data/2115436/000211543626000003/f8k2q991070726.h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2026-07-31T00:24:49Z</dcterms:created>
  <dcterms:modified xsi:type="dcterms:W3CDTF">2026-07-31T00:24:49Z</dcterms:modified>
</cp:coreProperties>
</file>

<file path=docProps/custom.xml><?xml version="1.0" encoding="utf-8"?>
<Properties xmlns="http://schemas.openxmlformats.org/officeDocument/2006/custom-properties" xmlns:vt="http://schemas.openxmlformats.org/officeDocument/2006/docPropsVTypes"/>
</file>