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om-earnings-predictions--2026-07-31"/>
    <w:p>
      <w:pPr>
        <w:pStyle w:val="Heading1"/>
      </w:pPr>
      <w:r>
        <w:t xml:space="preserve">XOM Earnings Predictions — 2026-07-31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~$3.78 vs. cons $3.58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Free cash flow after cash capex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~$13.2B vs. cons $12.4B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Upstream production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~4.65 mmboe/d vs. cons 4.72 mmboe/d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total Upstream production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~4.68 mmboe/d vs. cons 4.75 mmboe/d (2026)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2026 share repurchases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~$20.0B vs. cons $20.0B (2026)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Cash capital expenditure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~$28.0B vs. cons $28.0B (2026)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Qatar LNG disruption repair-duration commentary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~4.0 years vs. cons 3.0 years (post-2026 recovery period)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+1.2%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XOM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-1.5% (FADE)</w:t>
            </w:r>
          </w:p>
        </w:tc>
        <w:tc>
          <w:tcPr/>
          <w:p>
            <w:pPr>
              <w:pStyle w:val="Compact"/>
            </w:pPr>
            <w:r>
              <w:t xml:space="preserve">A ~$3.78 EPS beat versus</w:t>
            </w:r>
            <w:r>
              <w:t xml:space="preserve"> </w:t>
            </w:r>
            <m:oMath>
              <m:r>
                <m:t>3.58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a</m:t>
              </m:r>
              <m:r>
                <m:t>n</m:t>
              </m:r>
              <m:r>
                <m:t>d</m:t>
              </m:r>
              <m:r>
                <m:t> </m:t>
              </m:r>
            </m:oMath>
            <w:r>
              <w:t xml:space="preserve">13.2B FCF versus $12.4B should support an initial positive reaction, but a ~4.68 mmboe/d 2026 production outlook versus 4.75 mmboe/d consensus implies lower out-period upstream earnings and cash-flow estimates as the Qatar disruption is incorporated.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2026-07-31T00:22:54Z</dcterms:created>
  <dcterms:modified xsi:type="dcterms:W3CDTF">2026-07-31T00:22:54Z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