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9" w:name="exxonmobil-xom--2q26-earnings-preview"/>
    <w:p>
      <w:pPr>
        <w:pStyle w:val="Heading1"/>
      </w:pPr>
      <w:r>
        <w:t xml:space="preserve">ExxonMobil (XOM) — 2Q26 Earnings Preview</w:t>
      </w:r>
    </w:p>
    <w:p>
      <w:pPr>
        <w:pStyle w:val="BlockText"/>
      </w:pPr>
      <w:r>
        <w:rPr>
          <w:b/>
          <w:bCs/>
        </w:rPr>
        <w:t xml:space="preserve">Timing note:</w:t>
      </w:r>
      <w:r>
        <w:t xml:space="preserve"> </w:t>
      </w:r>
      <w:r>
        <w:t xml:space="preserve">Today is</w:t>
      </w:r>
      <w:r>
        <w:t xml:space="preserve"> </w:t>
      </w:r>
      <w:r>
        <w:rPr>
          <w:b/>
          <w:bCs/>
        </w:rPr>
        <w:t xml:space="preserve">Friday, July 31, 2026</w:t>
      </w:r>
      <w:r>
        <w:t xml:space="preserve">. XOM is scheduled to release 2Q26 results</w:t>
      </w:r>
      <w:r>
        <w:t xml:space="preserve"> </w:t>
      </w:r>
      <w:r>
        <w:rPr>
          <w:b/>
          <w:bCs/>
        </w:rPr>
        <w:t xml:space="preserve">today</w:t>
      </w:r>
      <w:r>
        <w:t xml:space="preserve"> </w:t>
      </w:r>
      <w:r>
        <w:t xml:space="preserve">at approximately</w:t>
      </w:r>
      <w:r>
        <w:t xml:space="preserve"> </w:t>
      </w:r>
      <w:r>
        <w:rPr>
          <w:b/>
          <w:bCs/>
        </w:rPr>
        <w:t xml:space="preserve">5:30 a.m. CT</w:t>
      </w:r>
      <w:r>
        <w:t xml:space="preserve">, followed by its earnings call at</w:t>
      </w:r>
      <w:r>
        <w:t xml:space="preserve"> </w:t>
      </w:r>
      <w:r>
        <w:rPr>
          <w:b/>
          <w:bCs/>
        </w:rPr>
        <w:t xml:space="preserve">8:30 a.m. CT</w:t>
      </w:r>
      <w:r>
        <w:t xml:space="preserve">—not tomorrow. This preview reflects information available through the July 30 market close.</w:t>
      </w:r>
    </w:p>
    <w:bookmarkStart w:id="9" w:name="Xf6b401724c5cc435598febc9da104e95fec1465"/>
    <w:p>
      <w:pPr>
        <w:pStyle w:val="Heading2"/>
      </w:pPr>
      <w:r>
        <w:t xml:space="preserve">Investment framing: earnings should be very strong, but the quality and durability of the windfall matter more</w:t>
      </w:r>
    </w:p>
    <w:p>
      <w:pPr>
        <w:pStyle w:val="FirstParagraph"/>
      </w:pPr>
      <w:r>
        <w:t xml:space="preserve">ExxonMobil enters 2Q26 with an unusually favorable macro backdrop: the Middle East conflict and disruption to flows through the Strait of Hormuz have supported crude prices, refining margins, trading opportunities, and the value of Exxon’s integrated global system. The market narrative is for a major year-over-year earnings and free-cash-flow step-up, potentially XOM’s strongest quarterly cash generation since 2022.</w:t>
      </w:r>
    </w:p>
    <w:p>
      <w:pPr>
        <w:pStyle w:val="BodyText"/>
      </w:pPr>
      <w:r>
        <w:t xml:space="preserve">The more important questions are:</w:t>
      </w:r>
    </w:p>
    <w:p>
      <w:pPr>
        <w:pStyle w:val="Compact"/>
        <w:numPr>
          <w:ilvl w:val="0"/>
          <w:numId w:val="1001"/>
        </w:numPr>
      </w:pPr>
      <w:r>
        <w:rPr>
          <w:b/>
          <w:bCs/>
        </w:rPr>
        <w:t xml:space="preserve">How much of the benefit converts into reported earnings and free cash flow?</w:t>
      </w:r>
    </w:p>
    <w:p>
      <w:pPr>
        <w:pStyle w:val="Compact"/>
        <w:numPr>
          <w:ilvl w:val="0"/>
          <w:numId w:val="1001"/>
        </w:numPr>
      </w:pPr>
      <w:r>
        <w:rPr>
          <w:b/>
          <w:bCs/>
        </w:rPr>
        <w:t xml:space="preserve">Do timing effects again obscure the underlying result?</w:t>
      </w:r>
    </w:p>
    <w:p>
      <w:pPr>
        <w:pStyle w:val="Compact"/>
        <w:numPr>
          <w:ilvl w:val="0"/>
          <w:numId w:val="1001"/>
        </w:numPr>
      </w:pPr>
      <w:r>
        <w:rPr>
          <w:b/>
          <w:bCs/>
        </w:rPr>
        <w:t xml:space="preserve">Can Exxon offset Middle East volume losses with Permian, Guyana, refining, and trading strength?</w:t>
      </w:r>
    </w:p>
    <w:p>
      <w:pPr>
        <w:pStyle w:val="Compact"/>
        <w:numPr>
          <w:ilvl w:val="0"/>
          <w:numId w:val="1001"/>
        </w:numPr>
      </w:pPr>
      <w:r>
        <w:rPr>
          <w:b/>
          <w:bCs/>
        </w:rPr>
        <w:t xml:space="preserve">What does management say about the duration of Qatar LNG disruptions and the sustainability of current macro conditions?</w:t>
      </w:r>
    </w:p>
    <w:p>
      <w:pPr>
        <w:pStyle w:val="Compact"/>
        <w:numPr>
          <w:ilvl w:val="0"/>
          <w:numId w:val="1001"/>
        </w:numPr>
      </w:pPr>
      <w:r>
        <w:rPr>
          <w:b/>
          <w:bCs/>
        </w:rPr>
        <w:t xml:space="preserve">How aggressively will the company return a potential cash windfall to shareholders?</w:t>
      </w:r>
    </w:p>
    <w:p>
      <w:pPr>
        <w:pStyle w:val="FirstParagraph"/>
      </w:pPr>
      <w:r>
        <w:t xml:space="preserve">My view:</w:t>
      </w:r>
      <w:r>
        <w:t xml:space="preserve"> </w:t>
      </w:r>
      <w:r>
        <w:rPr>
          <w:b/>
          <w:bCs/>
        </w:rPr>
        <w:t xml:space="preserve">the setup is favorable for a headline beat, but expectations are elevated and the stock is already pricing in a meaningful portion of the commodity upside.</w:t>
      </w:r>
      <w:r>
        <w:t xml:space="preserve"> </w:t>
      </w:r>
      <w:r>
        <w:t xml:space="preserve">The market reaction is therefore likely to depend more on cash flow, timing-effect transparency, operational volumes, and capital-return confidence than on EPS alone.</w:t>
      </w:r>
    </w:p>
    <w:p>
      <w:r>
        <w:pict>
          <v:rect style="width:0;height:1.5pt" o:hralign="center" o:hrstd="t" o:hr="t"/>
        </w:pict>
      </w:r>
    </w:p>
    <w:bookmarkEnd w:id="9"/>
    <w:bookmarkStart w:id="16" w:name="what-matters-most-this-quarter"/>
    <w:p>
      <w:pPr>
        <w:pStyle w:val="Heading2"/>
      </w:pPr>
      <w:r>
        <w:t xml:space="preserve">What matters most this quarter</w:t>
      </w:r>
    </w:p>
    <w:bookmarkStart w:id="10" w:name="Xa943ab54b22c88fa578a45976eb8fb60f9529b2"/>
    <w:p>
      <w:pPr>
        <w:pStyle w:val="Heading3"/>
      </w:pPr>
      <w:r>
        <w:t xml:space="preserve">1. Underlying earnings versus reported EPS: watch timing effects closely</w:t>
      </w:r>
    </w:p>
    <w:p>
      <w:pPr>
        <w:pStyle w:val="FirstParagraph"/>
      </w:pPr>
      <w:r>
        <w:t xml:space="preserve">The principal accounting issue in the print is likely to be Exxon’s commodity-trading timing effects.</w:t>
      </w:r>
    </w:p>
    <w:p>
      <w:pPr>
        <w:pStyle w:val="BodyText"/>
      </w:pPr>
      <w:r>
        <w:t xml:space="preserve">In 1Q26, Exxon reported:</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1Q26 result</w:t>
            </w:r>
          </w:p>
        </w:tc>
        <w:tc>
          <w:tcPr/>
          <w:p>
            <w:pPr>
              <w:pStyle w:val="Compact"/>
              <w:jc w:val="right"/>
            </w:pPr>
            <w:r>
              <w:t xml:space="preserve">Amount</w:t>
            </w:r>
          </w:p>
        </w:tc>
      </w:tr>
      <w:tr>
        <w:tc>
          <w:tcPr/>
          <w:p>
            <w:pPr>
              <w:pStyle w:val="Compact"/>
            </w:pPr>
            <w:r>
              <w:t xml:space="preserve">GAAP earnings</w:t>
            </w:r>
          </w:p>
        </w:tc>
        <w:tc>
          <w:tcPr/>
          <w:p>
            <w:pPr>
              <w:pStyle w:val="Compact"/>
              <w:jc w:val="right"/>
            </w:pPr>
            <w:r>
              <w:rPr>
                <w:b/>
                <w:bCs/>
              </w:rPr>
              <w:t xml:space="preserve">$4.2B</w:t>
            </w:r>
          </w:p>
        </w:tc>
      </w:tr>
      <w:tr>
        <w:tc>
          <w:tcPr/>
          <w:p>
            <w:pPr>
              <w:pStyle w:val="Compact"/>
            </w:pPr>
            <w:r>
              <w:t xml:space="preserve">GAAP EPS</w:t>
            </w:r>
          </w:p>
        </w:tc>
        <w:tc>
          <w:tcPr/>
          <w:p>
            <w:pPr>
              <w:pStyle w:val="Compact"/>
              <w:jc w:val="right"/>
            </w:pPr>
            <w:r>
              <w:rPr>
                <w:b/>
                <w:bCs/>
              </w:rPr>
              <w:t xml:space="preserve">$1.00</w:t>
            </w:r>
          </w:p>
        </w:tc>
      </w:tr>
      <w:tr>
        <w:tc>
          <w:tcPr/>
          <w:p>
            <w:pPr>
              <w:pStyle w:val="Compact"/>
            </w:pPr>
            <w:r>
              <w:t xml:space="preserve">Earnings excluding identified items</w:t>
            </w:r>
          </w:p>
        </w:tc>
        <w:tc>
          <w:tcPr/>
          <w:p>
            <w:pPr>
              <w:pStyle w:val="Compact"/>
              <w:jc w:val="right"/>
            </w:pPr>
            <w:r>
              <w:rPr>
                <w:b/>
                <w:bCs/>
              </w:rPr>
              <w:t xml:space="preserve">$4.9B</w:t>
            </w:r>
          </w:p>
        </w:tc>
      </w:tr>
      <w:tr>
        <w:tc>
          <w:tcPr/>
          <w:p>
            <w:pPr>
              <w:pStyle w:val="Compact"/>
            </w:pPr>
            <w:r>
              <w:t xml:space="preserve">Earnings excluding identified items and estimated timing effects</w:t>
            </w:r>
          </w:p>
        </w:tc>
        <w:tc>
          <w:tcPr/>
          <w:p>
            <w:pPr>
              <w:pStyle w:val="Compact"/>
              <w:jc w:val="right"/>
            </w:pPr>
            <w:r>
              <w:rPr>
                <w:b/>
                <w:bCs/>
              </w:rPr>
              <w:t xml:space="preserve">$8.8B</w:t>
            </w:r>
          </w:p>
        </w:tc>
      </w:tr>
      <w:tr>
        <w:tc>
          <w:tcPr/>
          <w:p>
            <w:pPr>
              <w:pStyle w:val="Compact"/>
            </w:pPr>
            <w:r>
              <w:t xml:space="preserve">Underlying EPS excluding identified items and timing</w:t>
            </w:r>
          </w:p>
        </w:tc>
        <w:tc>
          <w:tcPr/>
          <w:p>
            <w:pPr>
              <w:pStyle w:val="Compact"/>
              <w:jc w:val="right"/>
            </w:pPr>
            <w:r>
              <w:rPr>
                <w:b/>
                <w:bCs/>
              </w:rPr>
              <w:t xml:space="preserve">$2.09</w:t>
            </w:r>
          </w:p>
        </w:tc>
      </w:tr>
    </w:tbl>
    <w:p>
      <w:pPr>
        <w:pStyle w:val="BodyText"/>
      </w:pPr>
      <w:r>
        <w:t xml:space="preserve">The difference was material:</w:t>
      </w:r>
      <w:r>
        <w:t xml:space="preserve"> </w:t>
      </w:r>
      <w:r>
        <w:rPr>
          <w:b/>
          <w:bCs/>
        </w:rPr>
        <w:t xml:space="preserve">unfavorable timing effects of</w:t>
      </w:r>
      <w:r>
        <w:rPr>
          <w:b/>
          <w:bCs/>
        </w:rPr>
        <w:t xml:space="preserve"> </w:t>
      </w:r>
      <m:oMath>
        <m:r>
          <m:t>3.9</m:t>
        </m:r>
        <m:r>
          <m:t>B</m:t>
        </m:r>
        <m:r>
          <m:rPr>
            <m:sty m:val="p"/>
          </m:rPr>
          <m:t>*</m:t>
        </m:r>
        <m:r>
          <m:rPr>
            <m:sty m:val="p"/>
          </m:rPr>
          <m:t>*</m:t>
        </m:r>
        <m:r>
          <m:t>a</m:t>
        </m:r>
        <m:r>
          <m:t>n</m:t>
        </m:r>
        <m:r>
          <m:t>d</m:t>
        </m:r>
        <m:r>
          <m:t>a</m:t>
        </m:r>
        <m:r>
          <m:rPr>
            <m:sty m:val="p"/>
          </m:rPr>
          <m:t>*</m:t>
        </m:r>
        <m:r>
          <m:rPr>
            <m:sty m:val="p"/>
          </m:rPr>
          <m:t>*</m:t>
        </m:r>
      </m:oMath>
      <w:r>
        <w:rPr>
          <w:b/>
          <w:bCs/>
        </w:rPr>
        <w:t xml:space="preserve">0.7B identified item</w:t>
      </w:r>
      <w:r>
        <w:t xml:space="preserve"> </w:t>
      </w:r>
      <w:r>
        <w:t xml:space="preserve">tied to settled hedges whose associated physical shipments were disrupted by Middle East supply issues.</w:t>
      </w:r>
    </w:p>
    <w:p>
      <w:pPr>
        <w:pStyle w:val="BodyText"/>
      </w:pPr>
      <w:r>
        <w:t xml:space="preserve">Exxon is generally long physical barrels and hedges associated price risk with financial instruments. When commodity prices rise sharply into quarter-end, derivatives can generate a negative mark-to-market effect before the corresponding physical transactions are recognized. That can make GAAP profit look materially weaker than the economics of the underlying trading and optimization activity.</w:t>
      </w:r>
    </w:p>
    <w:p>
      <w:pPr>
        <w:pStyle w:val="BodyText"/>
      </w:pPr>
      <w:r>
        <w:rPr>
          <w:b/>
          <w:bCs/>
        </w:rPr>
        <w:t xml:space="preserve">Investor implication:</w:t>
      </w:r>
      <w:r>
        <w:br/>
      </w:r>
      <w:r>
        <w:t xml:space="preserve">A large reported EPS number would be positive, but the higher-quality outcome is:</w:t>
      </w:r>
    </w:p>
    <w:p>
      <w:pPr>
        <w:pStyle w:val="Compact"/>
        <w:numPr>
          <w:ilvl w:val="0"/>
          <w:numId w:val="1002"/>
        </w:numPr>
      </w:pPr>
      <w:r>
        <w:t xml:space="preserve">strong segment earnings</w:t>
      </w:r>
      <w:r>
        <w:t xml:space="preserve"> </w:t>
      </w:r>
      <w:r>
        <w:rPr>
          <w:b/>
          <w:bCs/>
        </w:rPr>
        <w:t xml:space="preserve">before timing effects</w:t>
      </w:r>
      <w:r>
        <w:t xml:space="preserve">;</w:t>
      </w:r>
    </w:p>
    <w:p>
      <w:pPr>
        <w:pStyle w:val="Compact"/>
        <w:numPr>
          <w:ilvl w:val="0"/>
          <w:numId w:val="1002"/>
        </w:numPr>
      </w:pPr>
      <w:r>
        <w:t xml:space="preserve">a reversal or partial unwind of the 1Q timing headwind;</w:t>
      </w:r>
    </w:p>
    <w:p>
      <w:pPr>
        <w:pStyle w:val="Compact"/>
        <w:numPr>
          <w:ilvl w:val="0"/>
          <w:numId w:val="1002"/>
        </w:numPr>
      </w:pPr>
      <w:r>
        <w:t xml:space="preserve">limited new margin-posting drag on operating cash flow; and</w:t>
      </w:r>
    </w:p>
    <w:p>
      <w:pPr>
        <w:pStyle w:val="Compact"/>
        <w:numPr>
          <w:ilvl w:val="0"/>
          <w:numId w:val="1002"/>
        </w:numPr>
      </w:pPr>
      <w:r>
        <w:t xml:space="preserve">clear disclosure that trading and optimization generated cash value rather than merely accounting volatility.</w:t>
      </w:r>
    </w:p>
    <w:p>
      <w:r>
        <w:pict>
          <v:rect style="width:0;height:1.5pt" o:hralign="center" o:hrstd="t" o:hr="t"/>
        </w:pict>
      </w:r>
    </w:p>
    <w:bookmarkEnd w:id="10"/>
    <w:bookmarkStart w:id="11" w:name="X1e8d11866ca2cc033d8a82ee8aa280623174522"/>
    <w:p>
      <w:pPr>
        <w:pStyle w:val="Heading3"/>
      </w:pPr>
      <w:r>
        <w:t xml:space="preserve">2. Upstream: high commodity realizations should offset, but not eliminate, Middle East volume pressure</w:t>
      </w:r>
    </w:p>
    <w:p>
      <w:pPr>
        <w:pStyle w:val="FirstParagraph"/>
      </w:pPr>
      <w:r>
        <w:t xml:space="preserve">The upstream segment should benefit from stronger oil and gas realizations. The offset is physical disruption in the Middle East.</w:t>
      </w:r>
    </w:p>
    <w:p>
      <w:pPr>
        <w:pStyle w:val="BodyText"/>
      </w:pPr>
      <w:r>
        <w:t xml:space="preserve">In 1Q26, Exxon’s oil-equivalent production was</w:t>
      </w:r>
      <w:r>
        <w:t xml:space="preserve"> </w:t>
      </w:r>
      <w:r>
        <w:rPr>
          <w:b/>
          <w:bCs/>
        </w:rPr>
        <w:t xml:space="preserve">4.59 million boe/d</w:t>
      </w:r>
      <w:r>
        <w:t xml:space="preserve">, down from</w:t>
      </w:r>
      <w:r>
        <w:t xml:space="preserve"> </w:t>
      </w:r>
      <w:r>
        <w:rPr>
          <w:b/>
          <w:bCs/>
        </w:rPr>
        <w:t xml:space="preserve">4.99 million boe/d</w:t>
      </w:r>
      <w:r>
        <w:t xml:space="preserve"> </w:t>
      </w:r>
      <w:r>
        <w:t xml:space="preserve">in 4Q25. The company attributed the decline to disruptions in Qatar and the UAE, Kazakhstan issues, and winter-weather effects in the Permian.</w:t>
      </w:r>
    </w:p>
    <w:p>
      <w:pPr>
        <w:pStyle w:val="BodyText"/>
      </w:pPr>
      <w:r>
        <w:t xml:space="preserve">The more consequential issue is Qatar. Management said two Qatar LNG trains in which Exxon has ownership interests were damaged, representing roughly</w:t>
      </w:r>
      <w:r>
        <w:t xml:space="preserve"> </w:t>
      </w:r>
      <w:r>
        <w:rPr>
          <w:b/>
          <w:bCs/>
        </w:rPr>
        <w:t xml:space="preserve">3% of Exxon’s global production</w:t>
      </w:r>
      <w:r>
        <w:t xml:space="preserve">. Exxon indicated that repairs could take roughly</w:t>
      </w:r>
      <w:r>
        <w:t xml:space="preserve"> </w:t>
      </w:r>
      <w:r>
        <w:rPr>
          <w:b/>
          <w:bCs/>
        </w:rPr>
        <w:t xml:space="preserve">three to five years</w:t>
      </w:r>
      <w:r>
        <w:t xml:space="preserve">, although the final timing remains subject to damage assessments and work with QatarEnergy.</w:t>
      </w:r>
    </w:p>
    <w:bookmarkEnd w:id="11"/>
    <w:bookmarkStart w:id="12" w:name="what-to-watch"/>
    <w:p>
      <w:pPr>
        <w:pStyle w:val="Heading3"/>
      </w:pPr>
      <w:r>
        <w:t xml:space="preserve">What to watch</w:t>
      </w:r>
    </w:p>
    <w:p>
      <w:pPr>
        <w:pStyle w:val="Compact"/>
        <w:numPr>
          <w:ilvl w:val="0"/>
          <w:numId w:val="1003"/>
        </w:numPr>
      </w:pPr>
      <w:r>
        <w:rPr>
          <w:b/>
          <w:bCs/>
        </w:rPr>
        <w:t xml:space="preserve">Total Upstream production</w:t>
      </w:r>
      <w:r>
        <w:t xml:space="preserve"> </w:t>
      </w:r>
      <w:r>
        <w:t xml:space="preserve">versus 1Q’s 4.59 mmboe/d.</w:t>
      </w:r>
    </w:p>
    <w:p>
      <w:pPr>
        <w:pStyle w:val="Compact"/>
        <w:numPr>
          <w:ilvl w:val="0"/>
          <w:numId w:val="1003"/>
        </w:numPr>
      </w:pPr>
      <w:r>
        <w:t xml:space="preserve">The extent of continuing Qatar/UAE volume disruption.</w:t>
      </w:r>
    </w:p>
    <w:p>
      <w:pPr>
        <w:pStyle w:val="Compact"/>
        <w:numPr>
          <w:ilvl w:val="0"/>
          <w:numId w:val="1003"/>
        </w:numPr>
      </w:pPr>
      <w:r>
        <w:t xml:space="preserve">Whether Guyana and Permian growth offsets disrupted LNG volumes.</w:t>
      </w:r>
    </w:p>
    <w:p>
      <w:pPr>
        <w:pStyle w:val="Compact"/>
        <w:numPr>
          <w:ilvl w:val="0"/>
          <w:numId w:val="1003"/>
        </w:numPr>
      </w:pPr>
      <w:r>
        <w:t xml:space="preserve">Realization sensitivity and outlook if oil prices remain elevated.</w:t>
      </w:r>
    </w:p>
    <w:p>
      <w:pPr>
        <w:pStyle w:val="Compact"/>
        <w:numPr>
          <w:ilvl w:val="0"/>
          <w:numId w:val="1003"/>
        </w:numPr>
      </w:pPr>
      <w:r>
        <w:t xml:space="preserve">Any update on a potential Venezuelan opportunity, which remains strategically interesting but should not yet be considered part of the base investment case.</w:t>
      </w:r>
    </w:p>
    <w:bookmarkEnd w:id="12"/>
    <w:bookmarkStart w:id="13" w:name="the-core-upside-assets-remain-intact"/>
    <w:p>
      <w:pPr>
        <w:pStyle w:val="Heading3"/>
      </w:pPr>
      <w:r>
        <w:t xml:space="preserve">The core upside assets remain intact</w:t>
      </w:r>
    </w:p>
    <w:p>
      <w:pPr>
        <w:pStyle w:val="Compact"/>
        <w:numPr>
          <w:ilvl w:val="0"/>
          <w:numId w:val="1004"/>
        </w:numPr>
      </w:pPr>
      <w:r>
        <w:rPr>
          <w:b/>
          <w:bCs/>
        </w:rPr>
        <w:t xml:space="preserve">Guyana:</w:t>
      </w:r>
      <w:r>
        <w:t xml:space="preserve"> </w:t>
      </w:r>
      <w:r>
        <w:t xml:space="preserve">Exxon delivered more than</w:t>
      </w:r>
      <w:r>
        <w:t xml:space="preserve"> </w:t>
      </w:r>
      <w:r>
        <w:rPr>
          <w:b/>
          <w:bCs/>
        </w:rPr>
        <w:t xml:space="preserve">900 thousand gross barrels per day</w:t>
      </w:r>
      <w:r>
        <w:t xml:space="preserve"> </w:t>
      </w:r>
      <w:r>
        <w:t xml:space="preserve">in 1Q26, a quarterly record. Uaru is expected to begin first oil late in 2026, while Whiptail and Hammerhead remain under development.</w:t>
      </w:r>
    </w:p>
    <w:p>
      <w:pPr>
        <w:pStyle w:val="Compact"/>
        <w:numPr>
          <w:ilvl w:val="0"/>
          <w:numId w:val="1004"/>
        </w:numPr>
      </w:pPr>
      <w:r>
        <w:rPr>
          <w:b/>
          <w:bCs/>
        </w:rPr>
        <w:t xml:space="preserve">Permian:</w:t>
      </w:r>
      <w:r>
        <w:t xml:space="preserve"> </w:t>
      </w:r>
      <w:r>
        <w:t xml:space="preserve">Exxon remains on track for</w:t>
      </w:r>
      <w:r>
        <w:t xml:space="preserve"> </w:t>
      </w:r>
      <w:r>
        <w:rPr>
          <w:b/>
          <w:bCs/>
        </w:rPr>
        <w:t xml:space="preserve">1.8 million boe/d</w:t>
      </w:r>
      <w:r>
        <w:t xml:space="preserve"> </w:t>
      </w:r>
      <w:r>
        <w:t xml:space="preserve">of Permian production during 2026. Its longer-term edge is not just scale, but proprietary completion technologies intended to raise recovery and capital efficiency.</w:t>
      </w:r>
    </w:p>
    <w:p>
      <w:pPr>
        <w:pStyle w:val="Compact"/>
        <w:numPr>
          <w:ilvl w:val="0"/>
          <w:numId w:val="1004"/>
        </w:numPr>
      </w:pPr>
      <w:r>
        <w:rPr>
          <w:b/>
          <w:bCs/>
        </w:rPr>
        <w:t xml:space="preserve">Golden Pass LNG:</w:t>
      </w:r>
      <w:r>
        <w:t xml:space="preserve"> </w:t>
      </w:r>
      <w:r>
        <w:t xml:space="preserve">Train 1 reached first LNG in March and loaded its first export cargo in April. Train 2 is expected to reach mechanical completion by year-end, and Train 3 during 2Q27.</w:t>
      </w:r>
    </w:p>
    <w:p>
      <w:pPr>
        <w:pStyle w:val="FirstParagraph"/>
      </w:pPr>
      <w:r>
        <w:t xml:space="preserve">The key investor debate is whether these advantaged growth assets can increasingly reduce the portfolio’s sensitivity to disrupted Middle East volumes over time.</w:t>
      </w:r>
    </w:p>
    <w:p>
      <w:r>
        <w:pict>
          <v:rect style="width:0;height:1.5pt" o:hralign="center" o:hrstd="t" o:hr="t"/>
        </w:pict>
      </w:r>
    </w:p>
    <w:bookmarkEnd w:id="13"/>
    <w:bookmarkStart w:id="14" w:name="X79994bc43ca8dd0e6d49d1c7a30719c7f389a87"/>
    <w:p>
      <w:pPr>
        <w:pStyle w:val="Heading3"/>
      </w:pPr>
      <w:r>
        <w:t xml:space="preserve">3. Energy Products may be the largest positive surprise lever</w:t>
      </w:r>
    </w:p>
    <w:p>
      <w:pPr>
        <w:pStyle w:val="FirstParagraph"/>
      </w:pPr>
      <w:r>
        <w:t xml:space="preserve">Energy Products was already showing the value of Exxon’s integrated model in 1Q26. On an underlying basis—excluding identified items and timing effects—the segment earned</w:t>
      </w:r>
      <w:r>
        <w:t xml:space="preserve"> </w:t>
      </w:r>
      <w:r>
        <w:rPr>
          <w:b/>
          <w:bCs/>
        </w:rPr>
        <w:t xml:space="preserve">$2.8B</w:t>
      </w:r>
      <w:r>
        <w:t xml:space="preserve">, up sharply year over year, driven by refining margins, trading and optimization, lower seasonal expenses, and structural cost savings.</w:t>
      </w:r>
    </w:p>
    <w:p>
      <w:pPr>
        <w:pStyle w:val="BodyText"/>
      </w:pPr>
      <w:r>
        <w:t xml:space="preserve">The segment’s reported 1Q loss of</w:t>
      </w:r>
      <w:r>
        <w:t xml:space="preserve"> </w:t>
      </w:r>
      <w:r>
        <w:rPr>
          <w:b/>
          <w:bCs/>
        </w:rPr>
        <w:t xml:space="preserve">$1.3B</w:t>
      </w:r>
      <w:r>
        <w:t xml:space="preserve"> </w:t>
      </w:r>
      <w:r>
        <w:t xml:space="preserve">was almost entirely an accounting presentation issue, reflecting negative timing effects and the identified hedge-related charge.</w:t>
      </w:r>
    </w:p>
    <w:p>
      <w:pPr>
        <w:pStyle w:val="BodyText"/>
      </w:pPr>
      <w:r>
        <w:t xml:space="preserve">The 2Q setup should be favorable because:</w:t>
      </w:r>
    </w:p>
    <w:p>
      <w:pPr>
        <w:pStyle w:val="Compact"/>
        <w:numPr>
          <w:ilvl w:val="0"/>
          <w:numId w:val="1005"/>
        </w:numPr>
      </w:pPr>
      <w:r>
        <w:t xml:space="preserve">elevated crude prices and supply disruption can support refining margins;</w:t>
      </w:r>
    </w:p>
    <w:p>
      <w:pPr>
        <w:pStyle w:val="Compact"/>
        <w:numPr>
          <w:ilvl w:val="0"/>
          <w:numId w:val="1005"/>
        </w:numPr>
      </w:pPr>
      <w:r>
        <w:t xml:space="preserve">Exxon has significant U.S. Gulf Coast refining exposure and a relatively advantaged feedstock position;</w:t>
      </w:r>
    </w:p>
    <w:p>
      <w:pPr>
        <w:pStyle w:val="Compact"/>
        <w:numPr>
          <w:ilvl w:val="0"/>
          <w:numId w:val="1005"/>
        </w:numPr>
      </w:pPr>
      <w:r>
        <w:t xml:space="preserve">the company increased refinery throughput by about</w:t>
      </w:r>
      <w:r>
        <w:t xml:space="preserve"> </w:t>
      </w:r>
      <w:r>
        <w:rPr>
          <w:b/>
          <w:bCs/>
        </w:rPr>
        <w:t xml:space="preserve">200 thousand b/d in March versus February</w:t>
      </w:r>
      <w:r>
        <w:t xml:space="preserve"> </w:t>
      </w:r>
      <w:r>
        <w:t xml:space="preserve">after expediting turnarounds and deferring maintenance where safe;</w:t>
      </w:r>
    </w:p>
    <w:p>
      <w:pPr>
        <w:pStyle w:val="Compact"/>
        <w:numPr>
          <w:ilvl w:val="0"/>
          <w:numId w:val="1005"/>
        </w:numPr>
      </w:pPr>
      <w:r>
        <w:t xml:space="preserve">global logistics and trading capabilities are particularly valuable in dislocated physical markets.</w:t>
      </w:r>
    </w:p>
    <w:p>
      <w:pPr>
        <w:pStyle w:val="FirstParagraph"/>
      </w:pPr>
      <w:r>
        <w:t xml:space="preserve">However, there is an important distinction:</w:t>
      </w:r>
      <w:r>
        <w:t xml:space="preserve"> </w:t>
      </w:r>
      <w:r>
        <w:rPr>
          <w:b/>
          <w:bCs/>
        </w:rPr>
        <w:t xml:space="preserve">high crude prices are not automatically positive for refining.</w:t>
      </w:r>
      <w:r>
        <w:t xml:space="preserve"> </w:t>
      </w:r>
      <w:r>
        <w:t xml:space="preserve">The result will depend on product cracks, regional crude differentials, refinery utilization, inventory effects, and whether trading gains are recognized in the quarter.</w:t>
      </w:r>
    </w:p>
    <w:p>
      <w:pPr>
        <w:pStyle w:val="BodyText"/>
      </w:pPr>
      <w:r>
        <w:rPr>
          <w:b/>
          <w:bCs/>
        </w:rPr>
        <w:t xml:space="preserve">Best case:</w:t>
      </w:r>
      <w:r>
        <w:t xml:space="preserve"> </w:t>
      </w:r>
      <w:r>
        <w:t xml:space="preserve">strong throughput recovery, resilient product cracks, and trading gains that more than offset higher feedstock costs.</w:t>
      </w:r>
      <w:r>
        <w:br/>
      </w:r>
      <w:r>
        <w:rPr>
          <w:b/>
          <w:bCs/>
        </w:rPr>
        <w:t xml:space="preserve">Risk case:</w:t>
      </w:r>
      <w:r>
        <w:t xml:space="preserve"> </w:t>
      </w:r>
      <w:r>
        <w:t xml:space="preserve">price volatility produces another substantial negative timing effect or physical supply constraints curtail refinery throughput.</w:t>
      </w:r>
    </w:p>
    <w:p>
      <w:r>
        <w:pict>
          <v:rect style="width:0;height:1.5pt" o:hralign="center" o:hrstd="t" o:hr="t"/>
        </w:pict>
      </w:r>
    </w:p>
    <w:bookmarkEnd w:id="14"/>
    <w:bookmarkStart w:id="15" w:name="X7d1f99b7e513099fba8853882bfeb1233d11c85"/>
    <w:p>
      <w:pPr>
        <w:pStyle w:val="Heading3"/>
      </w:pPr>
      <w:r>
        <w:t xml:space="preserve">4. Chemicals remain the weaker link</w:t>
      </w:r>
    </w:p>
    <w:p>
      <w:pPr>
        <w:pStyle w:val="FirstParagraph"/>
      </w:pPr>
      <w:r>
        <w:t xml:space="preserve">Chemicals is unlikely to be the central driver of the quarter, but it remains a meaningful swing factor for the quality of Product Solutions earnings.</w:t>
      </w:r>
    </w:p>
    <w:p>
      <w:pPr>
        <w:pStyle w:val="BodyText"/>
      </w:pPr>
      <w:r>
        <w:t xml:space="preserve">Chemical Products generated only</w:t>
      </w:r>
      <w:r>
        <w:t xml:space="preserve"> </w:t>
      </w:r>
      <w:r>
        <w:rPr>
          <w:b/>
          <w:bCs/>
        </w:rPr>
        <w:t xml:space="preserve">$110M</w:t>
      </w:r>
      <w:r>
        <w:t xml:space="preserve"> </w:t>
      </w:r>
      <w:r>
        <w:t xml:space="preserve">in 1Q26 earnings, as weaker realizations and higher feedstock costs offset higher volumes from the China Chemical Complex startup and cost savings. Exxon believes its North American gas-based cracker footprint provides a relative feedstock advantage when global oil prices rise, since global chemical pricing is more exposed to liquid-feedstock economics.</w:t>
      </w:r>
    </w:p>
    <w:p>
      <w:pPr>
        <w:pStyle w:val="BodyText"/>
      </w:pPr>
      <w:r>
        <w:t xml:space="preserve">For 2Q, investors should focus on:</w:t>
      </w:r>
    </w:p>
    <w:p>
      <w:pPr>
        <w:pStyle w:val="Compact"/>
        <w:numPr>
          <w:ilvl w:val="0"/>
          <w:numId w:val="1006"/>
        </w:numPr>
      </w:pPr>
      <w:r>
        <w:t xml:space="preserve">whether North American feedstock advantages translated into margin improvement;</w:t>
      </w:r>
    </w:p>
    <w:p>
      <w:pPr>
        <w:pStyle w:val="Compact"/>
        <w:numPr>
          <w:ilvl w:val="0"/>
          <w:numId w:val="1006"/>
        </w:numPr>
      </w:pPr>
      <w:r>
        <w:t xml:space="preserve">ramp-up and operating performance at the China complex;</w:t>
      </w:r>
    </w:p>
    <w:p>
      <w:pPr>
        <w:pStyle w:val="Compact"/>
        <w:numPr>
          <w:ilvl w:val="0"/>
          <w:numId w:val="1006"/>
        </w:numPr>
      </w:pPr>
      <w:r>
        <w:t xml:space="preserve">high-value-product mix;</w:t>
      </w:r>
    </w:p>
    <w:p>
      <w:pPr>
        <w:pStyle w:val="Compact"/>
        <w:numPr>
          <w:ilvl w:val="0"/>
          <w:numId w:val="1006"/>
        </w:numPr>
      </w:pPr>
      <w:r>
        <w:t xml:space="preserve">evidence that global chemical oversupply is stabilizing rather than worsening.</w:t>
      </w:r>
    </w:p>
    <w:p>
      <w:pPr>
        <w:pStyle w:val="FirstParagraph"/>
      </w:pPr>
      <w:r>
        <w:t xml:space="preserve">A modest Chemicals result would not break the quarter. But a recovery would reinforce management’s argument that the integrated model is performing across the portfolio rather than simply benefiting from crude prices.</w:t>
      </w:r>
    </w:p>
    <w:p>
      <w:r>
        <w:pict>
          <v:rect style="width:0;height:1.5pt" o:hralign="center" o:hrstd="t" o:hr="t"/>
        </w:pict>
      </w:r>
    </w:p>
    <w:bookmarkEnd w:id="15"/>
    <w:bookmarkEnd w:id="16"/>
    <w:bookmarkStart w:id="18" w:name="X7d5653fcd87dbc60b2717f47e870ba94e01f921"/>
    <w:p>
      <w:pPr>
        <w:pStyle w:val="Heading2"/>
      </w:pPr>
      <w:r>
        <w:t xml:space="preserve">Cash flow and shareholder returns: likely the decisive issue for the equity</w:t>
      </w:r>
    </w:p>
    <w:p>
      <w:pPr>
        <w:pStyle w:val="FirstParagraph"/>
      </w:pPr>
      <w:r>
        <w:t xml:space="preserve">XOM’s 1Q26 cash flow was visibly affected by trading-related margin postings: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1Q26 cash metric</w:t>
            </w:r>
          </w:p>
        </w:tc>
        <w:tc>
          <w:tcPr/>
          <w:p>
            <w:pPr>
              <w:pStyle w:val="Compact"/>
              <w:jc w:val="right"/>
            </w:pPr>
            <w:r>
              <w:t xml:space="preserve">Amount</w:t>
            </w:r>
          </w:p>
        </w:tc>
      </w:tr>
      <w:tr>
        <w:tc>
          <w:tcPr/>
          <w:p>
            <w:pPr>
              <w:pStyle w:val="Compact"/>
            </w:pPr>
            <w:r>
              <w:t xml:space="preserve">Cash flow from operations</w:t>
            </w:r>
          </w:p>
        </w:tc>
        <w:tc>
          <w:tcPr/>
          <w:p>
            <w:pPr>
              <w:pStyle w:val="Compact"/>
              <w:jc w:val="right"/>
            </w:pPr>
            <w:r>
              <w:rPr>
                <w:b/>
                <w:bCs/>
              </w:rPr>
              <w:t xml:space="preserve">$8.7B</w:t>
            </w:r>
          </w:p>
        </w:tc>
      </w:tr>
      <w:tr>
        <w:tc>
          <w:tcPr/>
          <w:p>
            <w:pPr>
              <w:pStyle w:val="Compact"/>
            </w:pPr>
            <w:r>
              <w:t xml:space="preserve">CFO excluding margin postings</w:t>
            </w:r>
          </w:p>
        </w:tc>
        <w:tc>
          <w:tcPr/>
          <w:p>
            <w:pPr>
              <w:pStyle w:val="Compact"/>
              <w:jc w:val="right"/>
            </w:pPr>
            <w:r>
              <w:rPr>
                <w:b/>
                <w:bCs/>
              </w:rPr>
              <w:t xml:space="preserve">$13.8B</w:t>
            </w:r>
          </w:p>
        </w:tc>
      </w:tr>
      <w:tr>
        <w:tc>
          <w:tcPr/>
          <w:p>
            <w:pPr>
              <w:pStyle w:val="Compact"/>
            </w:pPr>
            <w:r>
              <w:t xml:space="preserve">Free cash flow</w:t>
            </w:r>
          </w:p>
        </w:tc>
        <w:tc>
          <w:tcPr/>
          <w:p>
            <w:pPr>
              <w:pStyle w:val="Compact"/>
              <w:jc w:val="right"/>
            </w:pPr>
            <w:r>
              <w:rPr>
                <w:b/>
                <w:bCs/>
              </w:rPr>
              <w:t xml:space="preserve">$2.7B</w:t>
            </w:r>
          </w:p>
        </w:tc>
      </w:tr>
      <w:tr>
        <w:tc>
          <w:tcPr/>
          <w:p>
            <w:pPr>
              <w:pStyle w:val="Compact"/>
            </w:pPr>
            <w:r>
              <w:t xml:space="preserve">Cash capex</w:t>
            </w:r>
          </w:p>
        </w:tc>
        <w:tc>
          <w:tcPr/>
          <w:p>
            <w:pPr>
              <w:pStyle w:val="Compact"/>
              <w:jc w:val="right"/>
            </w:pPr>
            <w:r>
              <w:rPr>
                <w:b/>
                <w:bCs/>
              </w:rPr>
              <w:t xml:space="preserve">$6.2B</w:t>
            </w:r>
          </w:p>
        </w:tc>
      </w:tr>
      <w:tr>
        <w:tc>
          <w:tcPr/>
          <w:p>
            <w:pPr>
              <w:pStyle w:val="Compact"/>
            </w:pPr>
            <w:r>
              <w:t xml:space="preserve">Dividends + share repurchases</w:t>
            </w:r>
          </w:p>
        </w:tc>
        <w:tc>
          <w:tcPr/>
          <w:p>
            <w:pPr>
              <w:pStyle w:val="Compact"/>
              <w:jc w:val="right"/>
            </w:pPr>
            <w:r>
              <w:rPr>
                <w:b/>
                <w:bCs/>
              </w:rPr>
              <w:t xml:space="preserve">$9.2B</w:t>
            </w:r>
          </w:p>
        </w:tc>
      </w:tr>
    </w:tbl>
    <w:p>
      <w:pPr>
        <w:pStyle w:val="BodyText"/>
      </w:pPr>
      <w:r>
        <w:t xml:space="preserve">The company remains committed to:</w:t>
      </w:r>
    </w:p>
    <w:p>
      <w:pPr>
        <w:pStyle w:val="Compact"/>
        <w:numPr>
          <w:ilvl w:val="0"/>
          <w:numId w:val="1007"/>
        </w:numPr>
      </w:pPr>
      <m:oMath>
        <m:r>
          <m:t>27</m:t>
        </m:r>
        <m:r>
          <m:t>B</m:t>
        </m:r>
        <m:r>
          <m:rPr>
            <m:sty m:val="p"/>
          </m:rPr>
          <m:t>–</m:t>
        </m:r>
      </m:oMath>
      <w:r>
        <w:rPr>
          <w:b/>
          <w:bCs/>
        </w:rPr>
        <w:t xml:space="preserve">29B</w:t>
      </w:r>
      <w:r>
        <w:t xml:space="preserve"> </w:t>
      </w:r>
      <w:r>
        <w:t xml:space="preserve">of 2026 cash capex;</w:t>
      </w:r>
    </w:p>
    <w:p>
      <w:pPr>
        <w:pStyle w:val="Compact"/>
        <w:numPr>
          <w:ilvl w:val="0"/>
          <w:numId w:val="1007"/>
        </w:numPr>
      </w:pPr>
      <w:r>
        <w:rPr>
          <w:b/>
          <w:bCs/>
        </w:rPr>
        <w:t xml:space="preserve">$20B</w:t>
      </w:r>
      <w:r>
        <w:t xml:space="preserve"> </w:t>
      </w:r>
      <w:r>
        <w:t xml:space="preserve">of share repurchases in 2026, subject to reasonable market conditions;</w:t>
      </w:r>
    </w:p>
    <w:p>
      <w:pPr>
        <w:pStyle w:val="Compact"/>
        <w:numPr>
          <w:ilvl w:val="0"/>
          <w:numId w:val="1007"/>
        </w:numPr>
      </w:pPr>
      <w:r>
        <w:t xml:space="preserve">a quarterly dividend of</w:t>
      </w:r>
      <w:r>
        <w:t xml:space="preserve"> </w:t>
      </w:r>
      <w:r>
        <w:rPr>
          <w:b/>
          <w:bCs/>
        </w:rPr>
        <w:t xml:space="preserve">$1.03 per share</w:t>
      </w:r>
      <w:r>
        <w:t xml:space="preserve">; and</w:t>
      </w:r>
    </w:p>
    <w:p>
      <w:pPr>
        <w:pStyle w:val="Compact"/>
        <w:numPr>
          <w:ilvl w:val="0"/>
          <w:numId w:val="1007"/>
        </w:numPr>
      </w:pPr>
      <w:r>
        <w:t xml:space="preserve">preserving a strong balance sheet.</w:t>
      </w:r>
    </w:p>
    <w:p>
      <w:pPr>
        <w:pStyle w:val="FirstParagraph"/>
      </w:pPr>
      <w:r>
        <w:t xml:space="preserve">At the end of 1Q, net debt-to-capital was</w:t>
      </w:r>
      <w:r>
        <w:t xml:space="preserve"> </w:t>
      </w:r>
      <w:r>
        <w:rPr>
          <w:b/>
          <w:bCs/>
        </w:rPr>
        <w:t xml:space="preserve">13.1%</w:t>
      </w:r>
      <w:r>
        <w:t xml:space="preserve">, and XOM had</w:t>
      </w:r>
      <w:r>
        <w:t xml:space="preserve"> </w:t>
      </w:r>
      <w:r>
        <w:rPr>
          <w:b/>
          <w:bCs/>
        </w:rPr>
        <w:t xml:space="preserve">$8.4B</w:t>
      </w:r>
      <w:r>
        <w:t xml:space="preserve"> </w:t>
      </w:r>
      <w:r>
        <w:t xml:space="preserve">of cash. A strong 2Q cash result would give management meaningful flexibility to fund the dividend, maintain buybacks, execute its investment program, and potentially strengthen the balance sheet.</w:t>
      </w:r>
    </w:p>
    <w:bookmarkStart w:id="17" w:name="X0408ab1202cc0686a2565a075164457206a0220"/>
    <w:p>
      <w:pPr>
        <w:pStyle w:val="Heading3"/>
      </w:pPr>
      <w:r>
        <w:t xml:space="preserve">What investors should demand in the release</w:t>
      </w:r>
    </w:p>
    <w:p>
      <w:pPr>
        <w:pStyle w:val="Compact"/>
        <w:numPr>
          <w:ilvl w:val="0"/>
          <w:numId w:val="1008"/>
        </w:numPr>
      </w:pPr>
      <w:r>
        <w:rPr>
          <w:b/>
          <w:bCs/>
        </w:rPr>
        <w:t xml:space="preserve">Free cash flow after capex</w:t>
      </w:r>
      <w:r>
        <w:t xml:space="preserve">, not just earnings.</w:t>
      </w:r>
    </w:p>
    <w:p>
      <w:pPr>
        <w:pStyle w:val="Compact"/>
        <w:numPr>
          <w:ilvl w:val="0"/>
          <w:numId w:val="1008"/>
        </w:numPr>
      </w:pPr>
      <w:r>
        <w:t xml:space="preserve">The size and direction of</w:t>
      </w:r>
      <w:r>
        <w:t xml:space="preserve"> </w:t>
      </w:r>
      <w:r>
        <w:rPr>
          <w:b/>
          <w:bCs/>
        </w:rPr>
        <w:t xml:space="preserve">margin postings</w:t>
      </w:r>
      <w:r>
        <w:t xml:space="preserve">.</w:t>
      </w:r>
    </w:p>
    <w:p>
      <w:pPr>
        <w:pStyle w:val="Compact"/>
        <w:numPr>
          <w:ilvl w:val="0"/>
          <w:numId w:val="1008"/>
        </w:numPr>
      </w:pPr>
      <w:r>
        <w:t xml:space="preserve">Actual 2Q buybacks and confidence around the full-year</w:t>
      </w:r>
      <w:r>
        <w:t xml:space="preserve"> </w:t>
      </w:r>
      <w:r>
        <w:rPr>
          <w:b/>
          <w:bCs/>
        </w:rPr>
        <w:t xml:space="preserve">$20B</w:t>
      </w:r>
      <w:r>
        <w:t xml:space="preserve"> </w:t>
      </w:r>
      <w:r>
        <w:t xml:space="preserve">target.</w:t>
      </w:r>
    </w:p>
    <w:p>
      <w:pPr>
        <w:pStyle w:val="Compact"/>
        <w:numPr>
          <w:ilvl w:val="0"/>
          <w:numId w:val="1008"/>
        </w:numPr>
      </w:pPr>
      <w:r>
        <w:t xml:space="preserve">Commentary on whether elevated cash generation is being retained for flexibility or is available for incremental shareholder returns.</w:t>
      </w:r>
    </w:p>
    <w:p>
      <w:pPr>
        <w:pStyle w:val="Compact"/>
        <w:numPr>
          <w:ilvl w:val="0"/>
          <w:numId w:val="1008"/>
        </w:numPr>
      </w:pPr>
      <w:r>
        <w:t xml:space="preserve">No upward drift in full-year capex without a commensurate return case.</w:t>
      </w:r>
    </w:p>
    <w:p>
      <w:r>
        <w:pict>
          <v:rect style="width:0;height:1.5pt" o:hralign="center" o:hrstd="t" o:hr="t"/>
        </w:pict>
      </w:r>
    </w:p>
    <w:bookmarkEnd w:id="17"/>
    <w:bookmarkEnd w:id="18"/>
    <w:bookmarkStart w:id="19" w:name="expectations-and-positioning"/>
    <w:p>
      <w:pPr>
        <w:pStyle w:val="Heading2"/>
      </w:pPr>
      <w:r>
        <w:t xml:space="preserve">Expectations and positioning</w:t>
      </w:r>
    </w:p>
    <w:p>
      <w:pPr>
        <w:pStyle w:val="FirstParagraph"/>
      </w:pPr>
      <w:r>
        <w:t xml:space="preserve">XOM stock closed at</w:t>
      </w:r>
      <w:r>
        <w:t xml:space="preserve"> </w:t>
      </w:r>
      <m:oMath>
        <m:r>
          <m:t>157.00</m:t>
        </m:r>
        <m:r>
          <m:t>o</m:t>
        </m:r>
        <m:r>
          <m:t>n</m:t>
        </m:r>
        <m:r>
          <m:t>J</m:t>
        </m:r>
        <m:r>
          <m:t>u</m:t>
        </m:r>
        <m:r>
          <m:t>l</m:t>
        </m:r>
        <m:r>
          <m:t>y</m:t>
        </m:r>
        <m:r>
          <m:t>30</m:t>
        </m:r>
        <m:r>
          <m:rPr>
            <m:sty m:val="p"/>
          </m:rPr>
          <m:t>*</m:t>
        </m:r>
        <m:r>
          <m:rPr>
            <m:sty m:val="p"/>
          </m:rPr>
          <m:t>*</m:t>
        </m:r>
        <m:r>
          <m:rPr>
            <m:sty m:val="p"/>
          </m:rPr>
          <m:t>.</m:t>
        </m:r>
        <m:r>
          <m:t>I</m:t>
        </m:r>
        <m:r>
          <m:t>t</m:t>
        </m:r>
        <m:r>
          <m:t>h</m:t>
        </m:r>
        <m:r>
          <m:t>a</m:t>
        </m:r>
        <m:r>
          <m:t>s</m:t>
        </m:r>
        <m:r>
          <m:t>r</m:t>
        </m:r>
        <m:r>
          <m:t>e</m:t>
        </m:r>
        <m:r>
          <m:t>c</m:t>
        </m:r>
        <m:r>
          <m:t>o</m:t>
        </m:r>
        <m:r>
          <m:t>v</m:t>
        </m:r>
        <m:r>
          <m:t>e</m:t>
        </m:r>
        <m:r>
          <m:t>r</m:t>
        </m:r>
        <m:r>
          <m:t>e</m:t>
        </m:r>
        <m:r>
          <m:t>d</m:t>
        </m:r>
        <m:r>
          <m:t>s</m:t>
        </m:r>
        <m:r>
          <m:t>h</m:t>
        </m:r>
        <m:r>
          <m:t>a</m:t>
        </m:r>
        <m:r>
          <m:t>r</m:t>
        </m:r>
        <m:r>
          <m:t>p</m:t>
        </m:r>
        <m:r>
          <m:t>l</m:t>
        </m:r>
        <m:r>
          <m:t>y</m:t>
        </m:r>
        <m:r>
          <m:t>f</m:t>
        </m:r>
        <m:r>
          <m:t>r</m:t>
        </m:r>
        <m:r>
          <m:t>o</m:t>
        </m:r>
        <m:r>
          <m:t>m</m:t>
        </m:r>
        <m:r>
          <m:t>i</m:t>
        </m:r>
        <m:r>
          <m:t>t</m:t>
        </m:r>
        <m:r>
          <m:t>s</m:t>
        </m:r>
        <m:r>
          <m:t>l</m:t>
        </m:r>
        <m:r>
          <m:t>a</m:t>
        </m:r>
        <m:r>
          <m:t>t</m:t>
        </m:r>
        <m:r>
          <m:t>e</m:t>
        </m:r>
        <m:r>
          <m:rPr>
            <m:sty m:val="p"/>
          </m:rPr>
          <m:t>−</m:t>
        </m:r>
        <m:r>
          <m:t>J</m:t>
        </m:r>
        <m:r>
          <m:t>u</m:t>
        </m:r>
        <m:r>
          <m:t>n</m:t>
        </m:r>
        <m:r>
          <m:t>e</m:t>
        </m:r>
        <m:r>
          <m:t>l</m:t>
        </m:r>
        <m:r>
          <m:t>o</m:t>
        </m:r>
        <m:r>
          <m:t>w</m:t>
        </m:r>
        <m:r>
          <m:t>n</m:t>
        </m:r>
        <m:r>
          <m:t>e</m:t>
        </m:r>
        <m:r>
          <m:t>a</m:t>
        </m:r>
        <m:r>
          <m:t>r</m:t>
        </m:r>
        <m:r>
          <m:rPr>
            <m:sty m:val="p"/>
          </m:rPr>
          <m:t>*</m:t>
        </m:r>
        <m:r>
          <m:rPr>
            <m:sty m:val="p"/>
          </m:rPr>
          <m:t>*</m:t>
        </m:r>
      </m:oMath>
      <w:r>
        <w:rPr>
          <w:b/>
          <w:bCs/>
        </w:rPr>
        <w:t xml:space="preserve">136.50</w:t>
      </w:r>
      <w:r>
        <w:t xml:space="preserve">, reflecting the renewed Middle East risk premium and investors’ expectation that Exxon is among the clearest public-market beneficiaries of higher commodity prices and industry dislocation.</w:t>
      </w:r>
    </w:p>
    <w:p>
      <w:pPr>
        <w:pStyle w:val="BodyText"/>
      </w:pPr>
      <w:r>
        <w:t xml:space="preserve">That positioning raises the hurdle for the report:</w:t>
      </w:r>
    </w:p>
    <w:p>
      <w:pPr>
        <w:pStyle w:val="Compact"/>
        <w:numPr>
          <w:ilvl w:val="0"/>
          <w:numId w:val="1009"/>
        </w:numPr>
      </w:pPr>
      <w:r>
        <w:t xml:space="preserve">A simple earnings beat may not be enough.</w:t>
      </w:r>
    </w:p>
    <w:p>
      <w:pPr>
        <w:pStyle w:val="Compact"/>
        <w:numPr>
          <w:ilvl w:val="0"/>
          <w:numId w:val="1009"/>
        </w:numPr>
      </w:pPr>
      <w:r>
        <w:t xml:space="preserve">Investors will look for a cash-flow beat, sustained buyback capacity, and confirmation that operational disruptions are manageable.</w:t>
      </w:r>
    </w:p>
    <w:p>
      <w:pPr>
        <w:pStyle w:val="Compact"/>
        <w:numPr>
          <w:ilvl w:val="0"/>
          <w:numId w:val="1009"/>
        </w:numPr>
      </w:pPr>
      <w:r>
        <w:t xml:space="preserve">A meaningful earnings shortfall driven solely by timing effects may be forgiven</w:t>
      </w:r>
      <w:r>
        <w:t xml:space="preserve"> </w:t>
      </w:r>
      <w:r>
        <w:rPr>
          <w:b/>
          <w:bCs/>
        </w:rPr>
        <w:t xml:space="preserve">if</w:t>
      </w:r>
      <w:r>
        <w:t xml:space="preserve"> </w:t>
      </w:r>
      <w:r>
        <w:t xml:space="preserve">underlying segment results and cash conversion are strong and well explained.</w:t>
      </w:r>
    </w:p>
    <w:p>
      <w:pPr>
        <w:pStyle w:val="Compact"/>
        <w:numPr>
          <w:ilvl w:val="0"/>
          <w:numId w:val="1009"/>
        </w:numPr>
      </w:pPr>
      <w:r>
        <w:t xml:space="preserve">Conversely, a strong GAAP number that is largely timing-related, with weak volumes or weak cash conversion, may not be rewarded.</w:t>
      </w:r>
    </w:p>
    <w:p>
      <w:r>
        <w:pict>
          <v:rect style="width:0;height:1.5pt" o:hralign="center" o:hrstd="t" o:hr="t"/>
        </w:pict>
      </w:r>
    </w:p>
    <w:bookmarkEnd w:id="19"/>
    <w:bookmarkStart w:id="24" w:name="key-call-questions"/>
    <w:p>
      <w:pPr>
        <w:pStyle w:val="Heading2"/>
      </w:pPr>
      <w:r>
        <w:t xml:space="preserve">Key call questions</w:t>
      </w:r>
    </w:p>
    <w:bookmarkStart w:id="20" w:name="middle-east-and-qatar"/>
    <w:p>
      <w:pPr>
        <w:pStyle w:val="Heading3"/>
      </w:pPr>
      <w:r>
        <w:t xml:space="preserve">Middle East and Qatar</w:t>
      </w:r>
    </w:p>
    <w:p>
      <w:pPr>
        <w:pStyle w:val="Compact"/>
        <w:numPr>
          <w:ilvl w:val="0"/>
          <w:numId w:val="1010"/>
        </w:numPr>
      </w:pPr>
      <w:r>
        <w:t xml:space="preserve">What was the 2Q production impact from Qatar and UAE assets?</w:t>
      </w:r>
    </w:p>
    <w:p>
      <w:pPr>
        <w:pStyle w:val="Compact"/>
        <w:numPr>
          <w:ilvl w:val="0"/>
          <w:numId w:val="1010"/>
        </w:numPr>
      </w:pPr>
      <w:r>
        <w:t xml:space="preserve">Has the assessment of damaged Qatar LNG trains changed?</w:t>
      </w:r>
    </w:p>
    <w:p>
      <w:pPr>
        <w:pStyle w:val="Compact"/>
        <w:numPr>
          <w:ilvl w:val="0"/>
          <w:numId w:val="1010"/>
        </w:numPr>
      </w:pPr>
      <w:r>
        <w:t xml:space="preserve">Is the three-to-five-year repair framework still appropriate?</w:t>
      </w:r>
    </w:p>
    <w:p>
      <w:pPr>
        <w:pStyle w:val="Compact"/>
        <w:numPr>
          <w:ilvl w:val="0"/>
          <w:numId w:val="1010"/>
        </w:numPr>
      </w:pPr>
      <w:r>
        <w:t xml:space="preserve">What is the expected earnings and cash-flow impact through the balance of 2026?</w:t>
      </w:r>
    </w:p>
    <w:p>
      <w:pPr>
        <w:pStyle w:val="Compact"/>
        <w:numPr>
          <w:ilvl w:val="0"/>
          <w:numId w:val="1010"/>
        </w:numPr>
      </w:pPr>
      <w:r>
        <w:t xml:space="preserve">Are there any incremental insurance recoveries, repair costs, or supply-chain constraints?</w:t>
      </w:r>
    </w:p>
    <w:bookmarkEnd w:id="20"/>
    <w:bookmarkStart w:id="21" w:name="upstream-growth"/>
    <w:p>
      <w:pPr>
        <w:pStyle w:val="Heading3"/>
      </w:pPr>
      <w:r>
        <w:t xml:space="preserve">Upstream growth</w:t>
      </w:r>
    </w:p>
    <w:p>
      <w:pPr>
        <w:pStyle w:val="Compact"/>
        <w:numPr>
          <w:ilvl w:val="0"/>
          <w:numId w:val="1011"/>
        </w:numPr>
      </w:pPr>
      <w:r>
        <w:t xml:space="preserve">Is Exxon still on track for</w:t>
      </w:r>
      <w:r>
        <w:t xml:space="preserve"> </w:t>
      </w:r>
      <w:r>
        <w:rPr>
          <w:b/>
          <w:bCs/>
        </w:rPr>
        <w:t xml:space="preserve">1.8 mmboe/d</w:t>
      </w:r>
      <w:r>
        <w:t xml:space="preserve"> </w:t>
      </w:r>
      <w:r>
        <w:t xml:space="preserve">of Permian output this year?</w:t>
      </w:r>
    </w:p>
    <w:p>
      <w:pPr>
        <w:pStyle w:val="Compact"/>
        <w:numPr>
          <w:ilvl w:val="0"/>
          <w:numId w:val="1011"/>
        </w:numPr>
      </w:pPr>
      <w:r>
        <w:t xml:space="preserve">What were 2Q Guyana volumes and FPSO utilization rates?</w:t>
      </w:r>
    </w:p>
    <w:p>
      <w:pPr>
        <w:pStyle w:val="Compact"/>
        <w:numPr>
          <w:ilvl w:val="0"/>
          <w:numId w:val="1011"/>
        </w:numPr>
      </w:pPr>
      <w:r>
        <w:t xml:space="preserve">Is Uaru still on track for first oil late in 2026?</w:t>
      </w:r>
    </w:p>
    <w:p>
      <w:pPr>
        <w:pStyle w:val="Compact"/>
        <w:numPr>
          <w:ilvl w:val="0"/>
          <w:numId w:val="1011"/>
        </w:numPr>
      </w:pPr>
      <w:r>
        <w:t xml:space="preserve">Does elevated oil pricing alter the pace of Permian activity or capital allocation?</w:t>
      </w:r>
    </w:p>
    <w:bookmarkEnd w:id="21"/>
    <w:bookmarkStart w:id="22" w:name="product-solutions"/>
    <w:p>
      <w:pPr>
        <w:pStyle w:val="Heading3"/>
      </w:pPr>
      <w:r>
        <w:t xml:space="preserve">Product Solutions</w:t>
      </w:r>
    </w:p>
    <w:p>
      <w:pPr>
        <w:pStyle w:val="Compact"/>
        <w:numPr>
          <w:ilvl w:val="0"/>
          <w:numId w:val="1012"/>
        </w:numPr>
      </w:pPr>
      <w:r>
        <w:t xml:space="preserve">How much did refining, logistics, and trading contribute to 2Q underlying earnings?</w:t>
      </w:r>
    </w:p>
    <w:p>
      <w:pPr>
        <w:pStyle w:val="Compact"/>
        <w:numPr>
          <w:ilvl w:val="0"/>
          <w:numId w:val="1012"/>
        </w:numPr>
      </w:pPr>
      <w:r>
        <w:t xml:space="preserve">What was global refinery throughput, particularly in the U.S. Gulf Coast and Asia Pacific?</w:t>
      </w:r>
    </w:p>
    <w:p>
      <w:pPr>
        <w:pStyle w:val="Compact"/>
        <w:numPr>
          <w:ilvl w:val="0"/>
          <w:numId w:val="1012"/>
        </w:numPr>
      </w:pPr>
      <w:r>
        <w:t xml:space="preserve">Are refining margins and physical dislocations still favorable entering 3Q?</w:t>
      </w:r>
    </w:p>
    <w:p>
      <w:pPr>
        <w:pStyle w:val="Compact"/>
        <w:numPr>
          <w:ilvl w:val="0"/>
          <w:numId w:val="1012"/>
        </w:numPr>
      </w:pPr>
      <w:r>
        <w:t xml:space="preserve">Has Chemicals improved as North American feedstock advantages widen?</w:t>
      </w:r>
    </w:p>
    <w:bookmarkEnd w:id="22"/>
    <w:bookmarkStart w:id="23" w:name="capital-allocation"/>
    <w:p>
      <w:pPr>
        <w:pStyle w:val="Heading3"/>
      </w:pPr>
      <w:r>
        <w:t xml:space="preserve">Capital allocation</w:t>
      </w:r>
    </w:p>
    <w:p>
      <w:pPr>
        <w:pStyle w:val="Compact"/>
        <w:numPr>
          <w:ilvl w:val="0"/>
          <w:numId w:val="1013"/>
        </w:numPr>
      </w:pPr>
      <w:r>
        <w:t xml:space="preserve">What was the quarterly buyback amount?</w:t>
      </w:r>
    </w:p>
    <w:p>
      <w:pPr>
        <w:pStyle w:val="Compact"/>
        <w:numPr>
          <w:ilvl w:val="0"/>
          <w:numId w:val="1013"/>
        </w:numPr>
      </w:pPr>
      <w:r>
        <w:t xml:space="preserve">Is the</w:t>
      </w:r>
      <w:r>
        <w:t xml:space="preserve"> </w:t>
      </w:r>
      <w:r>
        <w:rPr>
          <w:b/>
          <w:bCs/>
        </w:rPr>
        <w:t xml:space="preserve">$20B 2026 repurchase</w:t>
      </w:r>
      <w:r>
        <w:t xml:space="preserve"> </w:t>
      </w:r>
      <w:r>
        <w:t xml:space="preserve">plan unchanged?</w:t>
      </w:r>
    </w:p>
    <w:p>
      <w:pPr>
        <w:pStyle w:val="Compact"/>
        <w:numPr>
          <w:ilvl w:val="0"/>
          <w:numId w:val="1013"/>
        </w:numPr>
      </w:pPr>
      <w:r>
        <w:t xml:space="preserve">Does management expect to remain inside the</w:t>
      </w:r>
      <w:r>
        <w:t xml:space="preserve"> </w:t>
      </w:r>
      <m:oMath>
        <m:r>
          <m:t>27</m:t>
        </m:r>
        <m:r>
          <m:t>B</m:t>
        </m:r>
        <m:r>
          <m:rPr>
            <m:sty m:val="p"/>
          </m:rPr>
          <m:t>–</m:t>
        </m:r>
      </m:oMath>
      <w:r>
        <w:rPr>
          <w:b/>
          <w:bCs/>
        </w:rPr>
        <w:t xml:space="preserve">29B</w:t>
      </w:r>
      <w:r>
        <w:t xml:space="preserve"> </w:t>
      </w:r>
      <w:r>
        <w:t xml:space="preserve">capex range?</w:t>
      </w:r>
    </w:p>
    <w:p>
      <w:pPr>
        <w:pStyle w:val="Compact"/>
        <w:numPr>
          <w:ilvl w:val="0"/>
          <w:numId w:val="1013"/>
        </w:numPr>
      </w:pPr>
      <w:r>
        <w:t xml:space="preserve">How much cash was tied up in margin collateral at quarter-end, and what is the expected unwind profile?</w:t>
      </w:r>
    </w:p>
    <w:p>
      <w:r>
        <w:pict>
          <v:rect style="width:0;height:1.5pt" o:hralign="center" o:hrstd="t" o:hr="t"/>
        </w:pict>
      </w:r>
    </w:p>
    <w:bookmarkEnd w:id="23"/>
    <w:bookmarkEnd w:id="24"/>
    <w:bookmarkStart w:id="25" w:name="catalysts"/>
    <w:p>
      <w:pPr>
        <w:pStyle w:val="Heading2"/>
      </w:pPr>
      <w:r>
        <w:t xml:space="preserve">Catalysts</w:t>
      </w:r>
    </w:p>
    <w:p>
      <w:pPr>
        <w:pStyle w:val="Compact"/>
        <w:numPr>
          <w:ilvl w:val="0"/>
          <w:numId w:val="1014"/>
        </w:numPr>
      </w:pPr>
      <w:r>
        <w:t xml:space="preserve">Reported EPS and, more importantly,</w:t>
      </w:r>
      <w:r>
        <w:t xml:space="preserve"> </w:t>
      </w:r>
      <w:r>
        <w:rPr>
          <w:b/>
          <w:bCs/>
        </w:rPr>
        <w:t xml:space="preserve">underlying earnings before timing effects</w:t>
      </w:r>
      <w:r>
        <w:t xml:space="preserve"> </w:t>
      </w:r>
      <w:r>
        <w:t xml:space="preserve">above expectations.</w:t>
      </w:r>
    </w:p>
    <w:p>
      <w:pPr>
        <w:pStyle w:val="Compact"/>
        <w:numPr>
          <w:ilvl w:val="0"/>
          <w:numId w:val="1014"/>
        </w:numPr>
      </w:pPr>
      <w:r>
        <w:t xml:space="preserve">Strong free cash flow and a reversal of some 1Q trading-collateral pressure.</w:t>
      </w:r>
    </w:p>
    <w:p>
      <w:pPr>
        <w:pStyle w:val="Compact"/>
        <w:numPr>
          <w:ilvl w:val="0"/>
          <w:numId w:val="1014"/>
        </w:numPr>
      </w:pPr>
      <w:r>
        <w:t xml:space="preserve">Confirmation of the $20B full-year buyback plan.</w:t>
      </w:r>
    </w:p>
    <w:p>
      <w:pPr>
        <w:pStyle w:val="Compact"/>
        <w:numPr>
          <w:ilvl w:val="0"/>
          <w:numId w:val="1014"/>
        </w:numPr>
      </w:pPr>
      <w:r>
        <w:t xml:space="preserve">Better-than-feared Qatar and Middle East volume impacts.</w:t>
      </w:r>
    </w:p>
    <w:p>
      <w:pPr>
        <w:pStyle w:val="Compact"/>
        <w:numPr>
          <w:ilvl w:val="0"/>
          <w:numId w:val="1014"/>
        </w:numPr>
      </w:pPr>
      <w:r>
        <w:t xml:space="preserve">Strong Guyana/Permian production and refinery utilization.</w:t>
      </w:r>
    </w:p>
    <w:p>
      <w:pPr>
        <w:pStyle w:val="Compact"/>
        <w:numPr>
          <w:ilvl w:val="0"/>
          <w:numId w:val="1014"/>
        </w:numPr>
      </w:pPr>
      <w:r>
        <w:t xml:space="preserve">Evidence that Golden Pass is contributing as commercial operations advance.</w:t>
      </w:r>
    </w:p>
    <w:bookmarkEnd w:id="25"/>
    <w:bookmarkStart w:id="26" w:name="risks"/>
    <w:p>
      <w:pPr>
        <w:pStyle w:val="Heading2"/>
      </w:pPr>
      <w:r>
        <w:t xml:space="preserve">Risks</w:t>
      </w:r>
    </w:p>
    <w:p>
      <w:pPr>
        <w:pStyle w:val="Compact"/>
        <w:numPr>
          <w:ilvl w:val="0"/>
          <w:numId w:val="1015"/>
        </w:numPr>
      </w:pPr>
      <w:r>
        <w:t xml:space="preserve">A second major negative timing-effect charge that limits reported EPS and cash flow.</w:t>
      </w:r>
    </w:p>
    <w:p>
      <w:pPr>
        <w:pStyle w:val="Compact"/>
        <w:numPr>
          <w:ilvl w:val="0"/>
          <w:numId w:val="1015"/>
        </w:numPr>
      </w:pPr>
      <w:r>
        <w:t xml:space="preserve">Continued or worsening Qatar LNG disruption, with a larger-than-expected production and earnings impact.</w:t>
      </w:r>
    </w:p>
    <w:p>
      <w:pPr>
        <w:pStyle w:val="Compact"/>
        <w:numPr>
          <w:ilvl w:val="0"/>
          <w:numId w:val="1015"/>
        </w:numPr>
      </w:pPr>
      <w:r>
        <w:t xml:space="preserve">Refinery throughput constraints or weaker product cracks despite high crude prices.</w:t>
      </w:r>
    </w:p>
    <w:p>
      <w:pPr>
        <w:pStyle w:val="Compact"/>
        <w:numPr>
          <w:ilvl w:val="0"/>
          <w:numId w:val="1015"/>
        </w:numPr>
      </w:pPr>
      <w:r>
        <w:t xml:space="preserve">A rapid geopolitical de-escalation that compresses oil prices, refining margins, and the stock’s risk premium.</w:t>
      </w:r>
    </w:p>
    <w:p>
      <w:pPr>
        <w:pStyle w:val="Compact"/>
        <w:numPr>
          <w:ilvl w:val="0"/>
          <w:numId w:val="1015"/>
        </w:numPr>
      </w:pPr>
      <w:r>
        <w:t xml:space="preserve">Rising cash collateral requirements that obscure otherwise strong operating cash generation.</w:t>
      </w:r>
    </w:p>
    <w:p>
      <w:pPr>
        <w:pStyle w:val="Compact"/>
        <w:numPr>
          <w:ilvl w:val="0"/>
          <w:numId w:val="1015"/>
        </w:numPr>
      </w:pPr>
      <w:r>
        <w:t xml:space="preserve">Chemical-margin deterioration.</w:t>
      </w:r>
    </w:p>
    <w:p>
      <w:r>
        <w:pict>
          <v:rect style="width:0;height:1.5pt" o:hralign="center" o:hrstd="t" o:hr="t"/>
        </w:pict>
      </w:r>
    </w:p>
    <w:bookmarkEnd w:id="26"/>
    <w:bookmarkStart w:id="28" w:name="bottom-line"/>
    <w:p>
      <w:pPr>
        <w:pStyle w:val="Heading2"/>
      </w:pPr>
      <w:r>
        <w:t xml:space="preserve">Bottom line</w:t>
      </w:r>
    </w:p>
    <w:p>
      <w:pPr>
        <w:pStyle w:val="FirstParagraph"/>
      </w:pPr>
      <w:r>
        <w:rPr>
          <w:b/>
          <w:bCs/>
        </w:rPr>
        <w:t xml:space="preserve">XOM is set up for a powerful 2Q26, with the integrated portfolio positioned to monetize higher commodity prices, volatile physical markets, strong U.S. refining economics, Guyana growth, and Permian scale.</w:t>
      </w:r>
      <w:r>
        <w:t xml:space="preserve"> </w:t>
      </w:r>
      <w:r>
        <w:t xml:space="preserve">The central complication is that reported earnings may again be distorted by derivative timing effects and collateral movements.</w:t>
      </w:r>
    </w:p>
    <w:p>
      <w:pPr>
        <w:pStyle w:val="BodyText"/>
      </w:pPr>
      <w:r>
        <w:t xml:space="preserve">For the stock, the most bullish combination would be:</w:t>
      </w:r>
    </w:p>
    <w:p>
      <w:pPr>
        <w:pStyle w:val="Compact"/>
        <w:numPr>
          <w:ilvl w:val="0"/>
          <w:numId w:val="1016"/>
        </w:numPr>
      </w:pPr>
      <w:r>
        <w:t xml:space="preserve">strong underlying Upstream and Energy Products earnings;</w:t>
      </w:r>
    </w:p>
    <w:p>
      <w:pPr>
        <w:pStyle w:val="Compact"/>
        <w:numPr>
          <w:ilvl w:val="0"/>
          <w:numId w:val="1016"/>
        </w:numPr>
      </w:pPr>
      <w:r>
        <w:t xml:space="preserve">contained Middle East volume losses;</w:t>
      </w:r>
    </w:p>
    <w:p>
      <w:pPr>
        <w:pStyle w:val="Compact"/>
        <w:numPr>
          <w:ilvl w:val="0"/>
          <w:numId w:val="1016"/>
        </w:numPr>
      </w:pPr>
      <w:r>
        <w:t xml:space="preserve">a clear bridge from GAAP earnings to cash-generative underlying performance;</w:t>
      </w:r>
    </w:p>
    <w:p>
      <w:pPr>
        <w:pStyle w:val="Compact"/>
        <w:numPr>
          <w:ilvl w:val="0"/>
          <w:numId w:val="1016"/>
        </w:numPr>
      </w:pPr>
      <w:r>
        <w:t xml:space="preserve">robust free cash flow after margin postings; and</w:t>
      </w:r>
    </w:p>
    <w:p>
      <w:pPr>
        <w:pStyle w:val="Compact"/>
        <w:numPr>
          <w:ilvl w:val="0"/>
          <w:numId w:val="1016"/>
        </w:numPr>
      </w:pPr>
      <w:r>
        <w:t xml:space="preserve">an unchanged or strengthened commitment to buybacks.</w:t>
      </w:r>
    </w:p>
    <w:p>
      <w:pPr>
        <w:pStyle w:val="FirstParagraph"/>
      </w:pPr>
      <w:r>
        <w:t xml:space="preserve">The most important takeaway will not be whether Exxon benefits from the current macro environment—it almost certainly does—but</w:t>
      </w:r>
      <w:r>
        <w:t xml:space="preserve"> </w:t>
      </w:r>
      <w:r>
        <w:rPr>
          <w:b/>
          <w:bCs/>
        </w:rPr>
        <w:t xml:space="preserve">how much of that benefit is durable, cash-convertible, and distributable to shareholders.</w:t>
      </w:r>
    </w:p>
    <w:p>
      <w:r>
        <w:pict>
          <v:rect style="width:0;height:1.5pt" o:hralign="center" o:hrstd="t" o:hr="t"/>
        </w:pict>
      </w:r>
    </w:p>
    <w:bookmarkStart w:id="27" w:name="research-basis"/>
    <w:p>
      <w:pPr>
        <w:pStyle w:val="Heading3"/>
      </w:pPr>
      <w:r>
        <w:t xml:space="preserve">Research basis</w:t>
      </w:r>
    </w:p>
    <w:p>
      <w:pPr>
        <w:pStyle w:val="Compact"/>
        <w:numPr>
          <w:ilvl w:val="0"/>
          <w:numId w:val="1017"/>
        </w:numPr>
      </w:pPr>
      <w:r>
        <w:t xml:space="preserve">ExxonMobil 1Q26 earnings release and supplemental financial data, May 1, 2026</w:t>
      </w:r>
    </w:p>
    <w:p>
      <w:pPr>
        <w:pStyle w:val="Compact"/>
        <w:numPr>
          <w:ilvl w:val="0"/>
          <w:numId w:val="1017"/>
        </w:numPr>
      </w:pPr>
      <w:r>
        <w:t xml:space="preserve">ExxonMobil 1Q26 earnings-call transcript, May 1, 2026</w:t>
      </w:r>
    </w:p>
    <w:p>
      <w:pPr>
        <w:pStyle w:val="Compact"/>
        <w:numPr>
          <w:ilvl w:val="0"/>
          <w:numId w:val="1017"/>
        </w:numPr>
      </w:pPr>
      <w:r>
        <w:t xml:space="preserve">ExxonMobil Middle East impact update and 1Q earnings considerations, April 8, 2026</w:t>
      </w:r>
    </w:p>
    <w:p>
      <w:pPr>
        <w:pStyle w:val="Compact"/>
        <w:numPr>
          <w:ilvl w:val="0"/>
          <w:numId w:val="1017"/>
        </w:numPr>
      </w:pPr>
      <w:r>
        <w:t xml:space="preserve">ExxonMobil corporate plan update, December 9, 2025</w:t>
      </w:r>
    </w:p>
    <w:p>
      <w:pPr>
        <w:pStyle w:val="Compact"/>
        <w:numPr>
          <w:ilvl w:val="0"/>
          <w:numId w:val="1017"/>
        </w:numPr>
      </w:pPr>
      <w:r>
        <w:t xml:space="preserve">ExxonMobil 2Q26 results scheduling announcement, July 21, 2026</w:t>
      </w:r>
    </w:p>
    <w:p>
      <w:pPr>
        <w:pStyle w:val="Compact"/>
        <w:numPr>
          <w:ilvl w:val="0"/>
          <w:numId w:val="1017"/>
        </w:numPr>
      </w:pPr>
      <w:r>
        <w:t xml:space="preserve">Market and sector developments through July 30, 2026</w:t>
      </w:r>
    </w:p>
    <w:bookmarkEnd w:id="27"/>
    <w:bookmarkEnd w:id="28"/>
    <w:bookmarkEnd w:id="2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2026-07-31T00:22:53Z</dcterms:created>
  <dcterms:modified xsi:type="dcterms:W3CDTF">2026-07-31T00:22:53Z</dcterms:modified>
</cp:coreProperties>
</file>

<file path=docProps/custom.xml><?xml version="1.0" encoding="utf-8"?>
<Properties xmlns="http://schemas.openxmlformats.org/officeDocument/2006/custom-properties" xmlns:vt="http://schemas.openxmlformats.org/officeDocument/2006/docPropsVTypes"/>
</file>