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9" w:name="xom-earnings-predictions--2026-07-31"/>
    <w:p>
      <w:pPr>
        <w:pStyle w:val="Heading1"/>
      </w:pPr>
      <w:r>
        <w:t xml:space="preserve">XOM Earnings Predictions — 2026-07-31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320"/>
        <w:gridCol w:w="1320"/>
        <w:gridCol w:w="1320"/>
        <w:gridCol w:w="1320"/>
        <w:gridCol w:w="1320"/>
        <w:gridCol w:w="132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Ticker</w:t>
            </w:r>
          </w:p>
        </w:tc>
        <w:tc>
          <w:tcPr/>
          <w:p>
            <w:pPr>
              <w:pStyle w:val="Compact"/>
            </w:pPr>
            <w:r>
              <w:t xml:space="preserve">Report or Guide</w:t>
            </w:r>
          </w:p>
        </w:tc>
        <w:tc>
          <w:tcPr/>
          <w:p>
            <w:pPr>
              <w:pStyle w:val="Compact"/>
            </w:pPr>
            <w:r>
              <w:t xml:space="preserve">KPI</w:t>
            </w:r>
          </w:p>
        </w:tc>
        <w:tc>
          <w:tcPr/>
          <w:p>
            <w:pPr>
              <w:pStyle w:val="Compact"/>
            </w:pPr>
            <w:r>
              <w:t xml:space="preserve">Prediction</w:t>
            </w:r>
          </w:p>
        </w:tc>
        <w:tc>
          <w:tcPr/>
          <w:p>
            <w:pPr>
              <w:pStyle w:val="Compact"/>
            </w:pPr>
            <w:r>
              <w:t xml:space="preserve">Answer</w:t>
            </w:r>
          </w:p>
        </w:tc>
        <w:tc>
          <w:tcPr/>
          <w:p>
            <w:pPr>
              <w:pStyle w:val="Compact"/>
            </w:pPr>
            <w:r>
              <w:t xml:space="preserve">Confidence</w:t>
            </w:r>
          </w:p>
        </w:tc>
      </w:tr>
      <w:tr>
        <w:tc>
          <w:tcPr/>
          <w:p>
            <w:pPr>
              <w:pStyle w:val="Compact"/>
            </w:pPr>
            <w:r>
              <w:t xml:space="preserve">XOM</w:t>
            </w:r>
          </w:p>
        </w:tc>
        <w:tc>
          <w:tcPr/>
          <w:p>
            <w:pPr>
              <w:pStyle w:val="Compact"/>
            </w:pPr>
            <w:r>
              <w:t xml:space="preserve">Report</w:t>
            </w:r>
          </w:p>
        </w:tc>
        <w:tc>
          <w:tcPr/>
          <w:p>
            <w:pPr>
              <w:pStyle w:val="Compact"/>
            </w:pPr>
            <w:r>
              <w:t xml:space="preserve">Operating EPS (Q2 2026)</w:t>
            </w:r>
          </w:p>
        </w:tc>
        <w:tc>
          <w:tcPr/>
          <w:p>
            <w:pPr>
              <w:pStyle w:val="Compact"/>
            </w:pPr>
            <w:r>
              <w:t xml:space="preserve">BEAT</w:t>
            </w:r>
          </w:p>
        </w:tc>
        <w:tc>
          <w:tcPr/>
          <w:p>
            <w:pPr>
              <w:pStyle w:val="Compact"/>
            </w:pPr>
            <w:r>
              <w:t xml:space="preserve">pred ~$3.85 vs. cons $3.54 (+8.8%)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XOM</w:t>
            </w:r>
          </w:p>
        </w:tc>
        <w:tc>
          <w:tcPr/>
          <w:p>
            <w:pPr>
              <w:pStyle w:val="Compact"/>
            </w:pPr>
            <w:r>
              <w:t xml:space="preserve">Report</w:t>
            </w:r>
          </w:p>
        </w:tc>
        <w:tc>
          <w:tcPr/>
          <w:p>
            <w:pPr>
              <w:pStyle w:val="Compact"/>
            </w:pPr>
            <w:r>
              <w:t xml:space="preserve">Total Production (Q2 2026)</w:t>
            </w:r>
          </w:p>
        </w:tc>
        <w:tc>
          <w:tcPr/>
          <w:p>
            <w:pPr>
              <w:pStyle w:val="Compact"/>
            </w:pPr>
            <w:r>
              <w:t xml:space="preserve">MISS</w:t>
            </w:r>
          </w:p>
        </w:tc>
        <w:tc>
          <w:tcPr/>
          <w:p>
            <w:pPr>
              <w:pStyle w:val="Compact"/>
            </w:pPr>
            <w:r>
              <w:t xml:space="preserve">pred ~4,150 Mboe/d vs. cons 4,254 Mboe/d (-2.4%)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XOM</w:t>
            </w:r>
          </w:p>
        </w:tc>
        <w:tc>
          <w:tcPr/>
          <w:p>
            <w:pPr>
              <w:pStyle w:val="Compact"/>
            </w:pPr>
            <w:r>
              <w:t xml:space="preserve">Report</w:t>
            </w:r>
          </w:p>
        </w:tc>
        <w:tc>
          <w:tcPr/>
          <w:p>
            <w:pPr>
              <w:pStyle w:val="Compact"/>
            </w:pPr>
            <w:r>
              <w:t xml:space="preserve">Refining Margin/bbl (Q2 2026)</w:t>
            </w:r>
          </w:p>
        </w:tc>
        <w:tc>
          <w:tcPr/>
          <w:p>
            <w:pPr>
              <w:pStyle w:val="Compact"/>
            </w:pPr>
            <w:r>
              <w:t xml:space="preserve">MISS</w:t>
            </w:r>
          </w:p>
        </w:tc>
        <w:tc>
          <w:tcPr/>
          <w:p>
            <w:pPr>
              <w:pStyle w:val="Compact"/>
            </w:pPr>
            <w:r>
              <w:t xml:space="preserve">pred ~$26.00 vs. cons $28.13 (-7.6%)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XOM</w:t>
            </w:r>
          </w:p>
        </w:tc>
        <w:tc>
          <w:tcPr/>
          <w:p>
            <w:pPr>
              <w:pStyle w:val="Compact"/>
            </w:pPr>
            <w:r>
              <w:t xml:space="preserve">Guide</w:t>
            </w:r>
          </w:p>
        </w:tc>
        <w:tc>
          <w:tcPr/>
          <w:p>
            <w:pPr>
              <w:pStyle w:val="Compact"/>
            </w:pPr>
            <w:r>
              <w:t xml:space="preserve">FY 2026 Production (FY 2026)</w:t>
            </w:r>
          </w:p>
        </w:tc>
        <w:tc>
          <w:tcPr/>
          <w:p>
            <w:pPr>
              <w:pStyle w:val="Compact"/>
            </w:pPr>
            <w:r>
              <w:t xml:space="preserve">UNCHANGED</w:t>
            </w:r>
          </w:p>
        </w:tc>
        <w:tc>
          <w:tcPr/>
          <w:p>
            <w:pPr>
              <w:pStyle w:val="Compact"/>
            </w:pPr>
            <w:r>
              <w:t xml:space="preserve">reaffirm ~4.6-4.7 Mboe/d vs. cons 4,629 Mboe/d</w:t>
            </w:r>
          </w:p>
        </w:tc>
        <w:tc>
          <w:tcPr/>
          <w:p>
            <w:pPr>
              <w:pStyle w:val="Compact"/>
            </w:pPr>
            <w:r>
              <w:t xml:space="preserve">HIGH</w:t>
            </w:r>
          </w:p>
        </w:tc>
      </w:tr>
      <w:tr>
        <w:tc>
          <w:tcPr/>
          <w:p>
            <w:pPr>
              <w:pStyle w:val="Compact"/>
            </w:pPr>
            <w:r>
              <w:t xml:space="preserve">XOM</w:t>
            </w:r>
          </w:p>
        </w:tc>
        <w:tc>
          <w:tcPr/>
          <w:p>
            <w:pPr>
              <w:pStyle w:val="Compact"/>
            </w:pPr>
            <w:r>
              <w:t xml:space="preserve">Guide</w:t>
            </w:r>
          </w:p>
        </w:tc>
        <w:tc>
          <w:tcPr/>
          <w:p>
            <w:pPr>
              <w:pStyle w:val="Compact"/>
            </w:pPr>
            <w:r>
              <w:t xml:space="preserve">FY 2026 Capex (FY 2026)</w:t>
            </w:r>
          </w:p>
        </w:tc>
        <w:tc>
          <w:tcPr/>
          <w:p>
            <w:pPr>
              <w:pStyle w:val="Compact"/>
            </w:pPr>
            <w:r>
              <w:t xml:space="preserve">UNCHANGED</w:t>
            </w:r>
          </w:p>
        </w:tc>
        <w:tc>
          <w:tcPr/>
          <w:p>
            <w:pPr>
              <w:pStyle w:val="Compact"/>
            </w:pPr>
            <w:r>
              <w:t xml:space="preserve">reaffirm $28-30B vs. cons $28.2B</w:t>
            </w:r>
          </w:p>
        </w:tc>
        <w:tc>
          <w:tcPr/>
          <w:p>
            <w:pPr>
              <w:pStyle w:val="Compact"/>
            </w:pPr>
            <w:r>
              <w:t xml:space="preserve">HIGH</w:t>
            </w:r>
          </w:p>
        </w:tc>
      </w:tr>
      <w:tr>
        <w:tc>
          <w:tcPr/>
          <w:p>
            <w:pPr>
              <w:pStyle w:val="Compact"/>
            </w:pPr>
            <w:r>
              <w:t xml:space="preserve">XOM</w:t>
            </w:r>
          </w:p>
        </w:tc>
        <w:tc>
          <w:tcPr/>
          <w:p>
            <w:pPr>
              <w:pStyle w:val="Compact"/>
            </w:pPr>
            <w:r>
              <w:t xml:space="preserve">Guide</w:t>
            </w:r>
          </w:p>
        </w:tc>
        <w:tc>
          <w:tcPr/>
          <w:p>
            <w:pPr>
              <w:pStyle w:val="Compact"/>
            </w:pPr>
            <w:r>
              <w:t xml:space="preserve">Timing Effects Commentary (Q3 2026)</w:t>
            </w:r>
          </w:p>
        </w:tc>
        <w:tc>
          <w:tcPr/>
          <w:p>
            <w:pPr>
              <w:pStyle w:val="Compact"/>
            </w:pPr>
            <w:r>
              <w:t xml:space="preserve">UNCHANGED</w:t>
            </w:r>
          </w:p>
        </w:tc>
        <w:tc>
          <w:tcPr/>
          <w:p>
            <w:pPr>
              <w:pStyle w:val="Compact"/>
            </w:pPr>
            <w:r>
              <w:t xml:space="preserve">neutral/fading vs. Q2 tailwind; no incremental upside signaled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XOM</w:t>
            </w:r>
          </w:p>
        </w:tc>
        <w:tc>
          <w:tcPr/>
          <w:p>
            <w:pPr>
              <w:pStyle w:val="Compact"/>
            </w:pPr>
            <w:r>
              <w:t xml:space="preserve">Guide</w:t>
            </w:r>
          </w:p>
        </w:tc>
        <w:tc>
          <w:tcPr/>
          <w:p>
            <w:pPr>
              <w:pStyle w:val="Compact"/>
            </w:pPr>
            <w:r>
              <w:t xml:space="preserve">Shareholder Returns Tone (Forward)</w:t>
            </w:r>
          </w:p>
        </w:tc>
        <w:tc>
          <w:tcPr/>
          <w:p>
            <w:pPr>
              <w:pStyle w:val="Compact"/>
            </w:pPr>
            <w:r>
              <w:t xml:space="preserve">UNCHANGED</w:t>
            </w:r>
          </w:p>
        </w:tc>
        <w:tc>
          <w:tcPr/>
          <w:p>
            <w:pPr>
              <w:pStyle w:val="Compact"/>
            </w:pPr>
            <w:r>
              <w:t xml:space="preserve">ratable buybacks, no acceleration; 43rd consecutive dividend growth year</w:t>
            </w:r>
          </w:p>
        </w:tc>
        <w:tc>
          <w:tcPr/>
          <w:p>
            <w:pPr>
              <w:pStyle w:val="Compact"/>
            </w:pPr>
            <w:r>
              <w:t xml:space="preserve">HIGH</w:t>
            </w:r>
          </w:p>
        </w:tc>
      </w:tr>
      <w:tr>
        <w:tc>
          <w:tcPr/>
          <w:p>
            <w:pPr>
              <w:pStyle w:val="Compact"/>
            </w:pPr>
            <w:r>
              <w:t xml:space="preserve">XOM</w:t>
            </w:r>
          </w:p>
        </w:tc>
        <w:tc>
          <w:tcPr/>
          <w:p>
            <w:pPr>
              <w:pStyle w:val="Compact"/>
            </w:pPr>
            <w:r>
              <w:t xml:space="preserve">Return</w:t>
            </w:r>
          </w:p>
        </w:tc>
        <w:tc>
          <w:tcPr/>
          <w:p>
            <w:pPr>
              <w:pStyle w:val="Compact"/>
            </w:pPr>
            <w:r>
              <w:t xml:space="preserve">Day-1 residual (stock − beta × S&amp;P 500)</w:t>
            </w:r>
          </w:p>
        </w:tc>
        <w:tc>
          <w:tcPr/>
          <w:p>
            <w:pPr>
              <w:pStyle w:val="Compact"/>
            </w:pPr>
            <w:r>
              <w:t xml:space="preserve">-1.5%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XOM</w:t>
            </w:r>
          </w:p>
        </w:tc>
        <w:tc>
          <w:tcPr/>
          <w:p>
            <w:pPr>
              <w:pStyle w:val="Compact"/>
            </w:pPr>
            <w:r>
              <w:t xml:space="preserve">Return</w:t>
            </w:r>
          </w:p>
        </w:tc>
        <w:tc>
          <w:tcPr/>
          <w:p>
            <w:pPr>
              <w:pStyle w:val="Compact"/>
            </w:pPr>
            <w:r>
              <w:t xml:space="preserve">5-day cumulative residual</w:t>
            </w:r>
          </w:p>
        </w:tc>
        <w:tc>
          <w:tcPr/>
          <w:p>
            <w:pPr>
              <w:pStyle w:val="Compact"/>
            </w:pPr>
            <w:r>
              <w:t xml:space="preserve">-2.5% (FADE)</w:t>
            </w:r>
          </w:p>
        </w:tc>
        <w:tc>
          <w:tcPr/>
          <w:p>
            <w:pPr>
              <w:pStyle w:val="Compact"/>
            </w:pPr>
            <w:r>
              <w:t xml:space="preserve">FADE — sell-side cuts H2 production and refining estimates post-print; timing-driven EPS beat does not sustain the multiple; production and margin misses create downward revision pressure over the following days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</w:tbl>
    <w:bookmarkEnd w:id="9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2026-08-02T02:00:41Z</dcterms:created>
  <dcterms:modified xsi:type="dcterms:W3CDTF">2026-08-02T02:00:41Z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