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Bdr>
          <w:bottom w:val="single" w:sz="4" w:space="1" w:color="FB9120"/>
        </w:pBdr>
      </w:pPr>
      <w:r>
        <w:rPr>
          <w:rFonts w:ascii="Calibri" w:hAnsi="Calibri"/>
          <w:b/>
          <w:color w:val="3B4259"/>
          <w:sz w:val="40"/>
        </w:rPr>
        <w:t>ExxonMobil (XOM) — Q2 2026 Earnings Preview</w:t>
      </w:r>
    </w:p>
    <w:tbl>
      <w:tblPr>
        <w:tblStyle w:val="TableGrid"/>
        <w:tblW w:type="auto" w:w="0"/>
        <w:tblLook w:firstColumn="1" w:firstRow="1" w:lastColumn="0" w:lastRow="0" w:noHBand="0" w:noVBand="1" w:val="04A0"/>
      </w:tblPr>
      <w:tblGrid>
        <w:gridCol w:w="4320"/>
        <w:gridCol w:w="4320"/>
      </w:tblGrid>
      <w:tr>
        <w:tc>
          <w:tcPr>
            <w:tcW w:type="dxa" w:w="4320"/>
          </w:tcPr>
          <w:p>
            <w:r>
              <w:rPr>
                <w:rFonts w:ascii="Calibri" w:hAnsi="Calibri"/>
                <w:b/>
                <w:sz w:val="22"/>
              </w:rPr>
              <w:t>Company</w:t>
            </w:r>
          </w:p>
        </w:tc>
        <w:tc>
          <w:tcPr>
            <w:tcW w:type="dxa" w:w="4320"/>
          </w:tcPr>
          <w:p>
            <w:r>
              <w:rPr>
                <w:rFonts w:ascii="Calibri" w:hAnsi="Calibri"/>
                <w:sz w:val="22"/>
              </w:rPr>
              <w:t>ExxonMobil Holdings Corporation</w:t>
            </w:r>
          </w:p>
        </w:tc>
      </w:tr>
      <w:tr>
        <w:tc>
          <w:tcPr>
            <w:tcW w:type="dxa" w:w="4320"/>
          </w:tcPr>
          <w:p>
            <w:r>
              <w:rPr>
                <w:rFonts w:ascii="Calibri" w:hAnsi="Calibri"/>
                <w:b/>
                <w:sz w:val="22"/>
              </w:rPr>
              <w:t>Ticker</w:t>
            </w:r>
          </w:p>
        </w:tc>
        <w:tc>
          <w:tcPr>
            <w:tcW w:type="dxa" w:w="4320"/>
          </w:tcPr>
          <w:p>
            <w:r>
              <w:rPr>
                <w:rFonts w:ascii="Calibri" w:hAnsi="Calibri"/>
                <w:sz w:val="22"/>
              </w:rPr>
              <w:t>NYSE: XOM</w:t>
            </w:r>
          </w:p>
        </w:tc>
      </w:tr>
      <w:tr>
        <w:tc>
          <w:tcPr>
            <w:tcW w:type="dxa" w:w="4320"/>
          </w:tcPr>
          <w:p>
            <w:r>
              <w:rPr>
                <w:rFonts w:ascii="Calibri" w:hAnsi="Calibri"/>
                <w:b/>
                <w:sz w:val="22"/>
              </w:rPr>
              <w:t>Reporting Period</w:t>
            </w:r>
          </w:p>
        </w:tc>
        <w:tc>
          <w:tcPr>
            <w:tcW w:type="dxa" w:w="4320"/>
          </w:tcPr>
          <w:p>
            <w:r>
              <w:rPr>
                <w:rFonts w:ascii="Calibri" w:hAnsi="Calibri"/>
                <w:sz w:val="22"/>
              </w:rPr>
              <w:t>Q2 2026 (quarter ended June 30, 2026)</w:t>
            </w:r>
          </w:p>
        </w:tc>
      </w:tr>
      <w:tr>
        <w:tc>
          <w:tcPr>
            <w:tcW w:type="dxa" w:w="4320"/>
          </w:tcPr>
          <w:p>
            <w:r>
              <w:rPr>
                <w:rFonts w:ascii="Calibri" w:hAnsi="Calibri"/>
                <w:b/>
                <w:sz w:val="22"/>
              </w:rPr>
              <w:t>Earnings Date</w:t>
            </w:r>
          </w:p>
        </w:tc>
        <w:tc>
          <w:tcPr>
            <w:tcW w:type="dxa" w:w="4320"/>
          </w:tcPr>
          <w:p>
            <w:r>
              <w:rPr>
                <w:rFonts w:ascii="Calibri" w:hAnsi="Calibri"/>
                <w:sz w:val="22"/>
              </w:rPr>
              <w:t>July 31, 2026 — Before Market Open (call 8:30 a.m. CT)</w:t>
            </w:r>
          </w:p>
        </w:tc>
      </w:tr>
      <w:tr>
        <w:tc>
          <w:tcPr>
            <w:tcW w:type="dxa" w:w="4320"/>
          </w:tcPr>
          <w:p>
            <w:r>
              <w:rPr>
                <w:rFonts w:ascii="Calibri" w:hAnsi="Calibri"/>
                <w:b/>
                <w:sz w:val="22"/>
              </w:rPr>
              <w:t>Prepared</w:t>
            </w:r>
          </w:p>
        </w:tc>
        <w:tc>
          <w:tcPr>
            <w:tcW w:type="dxa" w:w="4320"/>
          </w:tcPr>
          <w:p>
            <w:r>
              <w:rPr>
                <w:rFonts w:ascii="Calibri" w:hAnsi="Calibri"/>
                <w:sz w:val="22"/>
              </w:rPr>
              <w:t>July 30, 2026</w:t>
            </w:r>
          </w:p>
        </w:tc>
      </w:tr>
    </w:tbl>
    <w:p>
      <w:pPr>
        <w:pStyle w:val="Heading2"/>
      </w:pPr>
      <w:r>
        <w:rPr>
          <w:rFonts w:ascii="Calibri" w:hAnsi="Calibri"/>
          <w:b/>
          <w:color w:val="3B4259"/>
          <w:sz w:val="28"/>
        </w:rPr>
        <w:t>1. Earnings Preview</w:t>
      </w:r>
    </w:p>
    <w:p>
      <w:r>
        <w:rPr>
          <w:rFonts w:ascii="Calibri" w:hAnsi="Calibri"/>
          <w:b/>
          <w:color w:val="525866"/>
          <w:sz w:val="22"/>
        </w:rPr>
        <w:t xml:space="preserve">Key Takeaway: </w:t>
      </w:r>
      <w:r>
        <w:rPr>
          <w:rFonts w:ascii="Calibri" w:hAnsi="Calibri"/>
          <w:color w:val="525866"/>
          <w:sz w:val="22"/>
        </w:rPr>
        <w:t>The setup into XOM’s Q2 2026 print is constructive — consensus EPS of ~$3.54 is a moderate bar given the extraordinary macro tailwind from Brent averaging $104/bbl in Q2 (vs. $81 in Q1), record refining margins, and the reversal of ~$4–5B in Q1 timing effects that will flow back through earnings. The biggest swing factor is the magnitude of the timing effect reversal and whether Permian/Guyana volumes held up through the quarter.</w:t>
      </w:r>
    </w:p>
    <w:p>
      <w:r>
        <w:rPr>
          <w:rFonts w:ascii="Calibri" w:hAnsi="Calibri"/>
          <w:color w:val="525866"/>
          <w:sz w:val="22"/>
        </w:rPr>
        <w:t xml:space="preserve">Heading into Q2 2026, ExxonMobil faces one of the most favorable commodity backdrops in years: Brent averaged $104/bbl in Q2 (up $23/bbl or +28% vs. Q1), refining margins surged to historic levels as ~5 million bbl/d of global refining capacity came offline due to Middle East disruptions and Ukrainian drone attacks on Russian refineries, and the large unfavorable timing effects that distorted Q1 GAAP earnings (~$4–5B combined upstream and energy products) are expected to reverse in Q2 as physical cargoes are delivered. </w:t>
      </w:r>
      <w:r>
        <w:rPr>
          <w:rFonts w:ascii="Calibri" w:hAnsi="Calibri"/>
          <w:i/>
          <w:color w:val="525866"/>
          <w:sz w:val="22"/>
        </w:rPr>
        <w:t>Management guided on the Q1 call that refining performance would “play out very well” into Q2</w:t>
      </w:r>
      <w:r>
        <w:rPr>
          <w:rFonts w:ascii="Calibri" w:hAnsi="Calibri"/>
          <w:color w:val="525866"/>
          <w:sz w:val="22"/>
        </w:rPr>
        <w:t>, and peer prints from TotalEnergies (Q2 adj. earnings ~$10B, Brent avg $104), Shell (Q2 adj. earnings $9.8B, record 102% refinery utilization), and Valero ($3.7B net income, $4.5B refining segment operating income) all confirm the extraordinary margin environment. Estimate revisions have been modest — consensus Q2 EPS sits at $3.54 vs. $3.57 at the post-Q1 baseline — suggesting the street has not fully priced in the commodity tailwind, leaving room for a beat. The stock has recovered +2.8% since Q1 earnings (vs. XLE +0.2%), but remains ~9% below its May peak of ~$162, suggesting the market is not pricing in a blowout. The key wildcard is the net timing effect reversal: if the ~$4–5B Q1 headwind reverses as management indicated, reported EPS could significantly exceed the $3.54 consensus, but any incremental negative timing from continued price volatility in Q2 could offset the gain.</w:t>
      </w:r>
    </w:p>
    <w:p>
      <w:r>
        <w:br w:type="page"/>
      </w:r>
    </w:p>
    <w:p>
      <w:pPr>
        <w:pStyle w:val="Heading2"/>
      </w:pPr>
      <w:r>
        <w:rPr>
          <w:rFonts w:ascii="Calibri" w:hAnsi="Calibri"/>
          <w:b/>
          <w:color w:val="3B4259"/>
          <w:sz w:val="28"/>
        </w:rPr>
        <w:t>2. KPIs &amp; Consensus Expectations</w:t>
      </w:r>
    </w:p>
    <w:p>
      <w:r>
        <w:rPr>
          <w:rFonts w:ascii="Calibri" w:hAnsi="Calibri"/>
          <w:b/>
          <w:color w:val="525866"/>
          <w:sz w:val="22"/>
        </w:rPr>
        <w:t xml:space="preserve">Key Takeaway: </w:t>
      </w:r>
      <w:r>
        <w:rPr>
          <w:rFonts w:ascii="Calibri" w:hAnsi="Calibri"/>
          <w:color w:val="525866"/>
          <w:sz w:val="22"/>
        </w:rPr>
        <w:t>Consensus Q2 EPS of $3.54 (operating, diluted) is a moderate bar given the extraordinary commodity tailwind — Brent averaged $104/bbl in Q2 vs. $81 in Q1. The bigger swing factor is the timing effect reversal: ~$4–5B of Q1 headwinds are expected to unwind in Q2, which could drive a significant beat vs. the $3.54 consensus. Production volumes are the secondary swing factor, with consensus at ~3.16M boe/d (liquids) vs. Q1 actual of 3.30M boe/d, reflecting Middle East disruption impacts.</w:t>
      </w:r>
    </w:p>
    <w:p>
      <w:pPr>
        <w:pStyle w:val="Heading3"/>
      </w:pPr>
      <w:r>
        <w:rPr>
          <w:rFonts w:ascii="Calibri" w:hAnsi="Calibri"/>
          <w:b/>
          <w:color w:val="3B4259"/>
          <w:sz w:val="24"/>
        </w:rPr>
        <w:t>Table 1 — Current Quarter Snapshot (Q2 2026)</w:t>
      </w:r>
    </w:p>
    <w:tbl>
      <w:tblPr>
        <w:tblStyle w:val="TableGrid"/>
        <w:tblW w:type="auto" w:w="0"/>
        <w:tblLook w:firstColumn="1" w:firstRow="1" w:lastColumn="0" w:lastRow="0" w:noHBand="0" w:noVBand="1" w:val="04A0"/>
      </w:tblPr>
      <w:tblGrid>
        <w:gridCol w:w="1234"/>
        <w:gridCol w:w="1234"/>
        <w:gridCol w:w="1234"/>
        <w:gridCol w:w="1234"/>
        <w:gridCol w:w="1234"/>
        <w:gridCol w:w="1234"/>
        <w:gridCol w:w="1234"/>
      </w:tblGrid>
      <w:tr>
        <w:tc>
          <w:tcPr>
            <w:tcW w:type="dxa" w:w="1234"/>
            <w:shd w:val="clear" w:color="auto" w:fill="3B4259"/>
          </w:tcPr>
          <w:p>
            <w:r>
              <w:rPr>
                <w:rFonts w:ascii="Calibri" w:hAnsi="Calibri"/>
                <w:b/>
                <w:color w:val="FFFFFF"/>
                <w:sz w:val="22"/>
              </w:rPr>
              <w:t>KPI</w:t>
            </w:r>
          </w:p>
        </w:tc>
        <w:tc>
          <w:tcPr>
            <w:tcW w:type="dxa" w:w="1234"/>
            <w:shd w:val="clear" w:color="auto" w:fill="3B4259"/>
          </w:tcPr>
          <w:p>
            <w:r>
              <w:rPr>
                <w:rFonts w:ascii="Calibri" w:hAnsi="Calibri"/>
                <w:b/>
                <w:color w:val="FFFFFF"/>
                <w:sz w:val="22"/>
              </w:rPr>
              <w:t>Q1 2026 Actual</w:t>
            </w:r>
          </w:p>
        </w:tc>
        <w:tc>
          <w:tcPr>
            <w:tcW w:type="dxa" w:w="1234"/>
            <w:shd w:val="clear" w:color="auto" w:fill="3B4259"/>
          </w:tcPr>
          <w:p>
            <w:r>
              <w:rPr>
                <w:rFonts w:ascii="Calibri" w:hAnsi="Calibri"/>
                <w:b/>
                <w:color w:val="FFFFFF"/>
                <w:sz w:val="22"/>
              </w:rPr>
              <w:t>Q2 2025 Actual</w:t>
            </w:r>
          </w:p>
        </w:tc>
        <w:tc>
          <w:tcPr>
            <w:tcW w:type="dxa" w:w="1234"/>
            <w:shd w:val="clear" w:color="auto" w:fill="3B4259"/>
          </w:tcPr>
          <w:p>
            <w:r>
              <w:rPr>
                <w:rFonts w:ascii="Calibri" w:hAnsi="Calibri"/>
                <w:b/>
                <w:color w:val="FFFFFF"/>
                <w:sz w:val="22"/>
              </w:rPr>
              <w:t>Q2 2026 Consensus Est.</w:t>
            </w:r>
          </w:p>
        </w:tc>
        <w:tc>
          <w:tcPr>
            <w:tcW w:type="dxa" w:w="1234"/>
            <w:shd w:val="clear" w:color="auto" w:fill="3B4259"/>
          </w:tcPr>
          <w:p>
            <w:r>
              <w:rPr>
                <w:rFonts w:ascii="Calibri" w:hAnsi="Calibri"/>
                <w:b/>
                <w:color w:val="FFFFFF"/>
                <w:sz w:val="22"/>
              </w:rPr>
              <w:t>YoY Change</w:t>
            </w:r>
          </w:p>
        </w:tc>
        <w:tc>
          <w:tcPr>
            <w:tcW w:type="dxa" w:w="1234"/>
            <w:shd w:val="clear" w:color="auto" w:fill="3B4259"/>
          </w:tcPr>
          <w:p>
            <w:r>
              <w:rPr>
                <w:rFonts w:ascii="Calibri" w:hAnsi="Calibri"/>
                <w:b/>
                <w:color w:val="FFFFFF"/>
                <w:sz w:val="22"/>
              </w:rPr>
              <w:t>Guidance</w:t>
            </w:r>
          </w:p>
        </w:tc>
        <w:tc>
          <w:tcPr>
            <w:tcW w:type="dxa" w:w="1234"/>
            <w:shd w:val="clear" w:color="auto" w:fill="3B4259"/>
          </w:tcPr>
          <w:p>
            <w:r>
              <w:rPr>
                <w:rFonts w:ascii="Calibri" w:hAnsi="Calibri"/>
                <w:b/>
                <w:color w:val="FFFFFF"/>
                <w:sz w:val="22"/>
              </w:rPr>
              <w:t>Cons. vs. Guidance</w:t>
            </w:r>
          </w:p>
        </w:tc>
      </w:tr>
      <w:tr>
        <w:tc>
          <w:tcPr>
            <w:tcW w:type="dxa" w:w="1234"/>
          </w:tcPr>
          <w:p>
            <w:r>
              <w:rPr>
                <w:rFonts w:ascii="Calibri" w:hAnsi="Calibri"/>
                <w:sz w:val="22"/>
              </w:rPr>
              <w:t>EPS — Diluted Operating ($)</w:t>
            </w:r>
          </w:p>
        </w:tc>
        <w:tc>
          <w:tcPr>
            <w:tcW w:type="dxa" w:w="1234"/>
          </w:tcPr>
          <w:p>
            <w:r>
              <w:rPr>
                <w:rFonts w:ascii="Calibri" w:hAnsi="Calibri"/>
                <w:sz w:val="22"/>
              </w:rPr>
              <w:t>$2.09</w:t>
            </w:r>
          </w:p>
        </w:tc>
        <w:tc>
          <w:tcPr>
            <w:tcW w:type="dxa" w:w="1234"/>
          </w:tcPr>
          <w:p>
            <w:r>
              <w:rPr>
                <w:rFonts w:ascii="Calibri" w:hAnsi="Calibri"/>
                <w:sz w:val="22"/>
              </w:rPr>
              <w:t>$1.64</w:t>
            </w:r>
          </w:p>
        </w:tc>
        <w:tc>
          <w:tcPr>
            <w:tcW w:type="dxa" w:w="1234"/>
          </w:tcPr>
          <w:p>
            <w:r>
              <w:rPr>
                <w:rFonts w:ascii="Calibri" w:hAnsi="Calibri"/>
                <w:sz w:val="22"/>
              </w:rPr>
              <w:t>$3.54</w:t>
            </w:r>
          </w:p>
        </w:tc>
        <w:tc>
          <w:tcPr>
            <w:tcW w:type="dxa" w:w="1234"/>
          </w:tcPr>
          <w:p>
            <w:r>
              <w:rPr>
                <w:rFonts w:ascii="Calibri" w:hAnsi="Calibri"/>
                <w:sz w:val="22"/>
              </w:rPr>
              <w:t>+116%</w:t>
            </w:r>
          </w:p>
        </w:tc>
        <w:tc>
          <w:tcPr>
            <w:tcW w:type="dxa" w:w="1234"/>
          </w:tcPr>
          <w:p>
            <w:r>
              <w:rPr>
                <w:rFonts w:ascii="Calibri" w:hAnsi="Calibri"/>
                <w:sz w:val="22"/>
              </w:rPr>
              <w:t>No explicit Q2 EPS guidance</w:t>
            </w:r>
          </w:p>
        </w:tc>
        <w:tc>
          <w:tcPr>
            <w:tcW w:type="dxa" w:w="1234"/>
          </w:tcPr>
          <w:p>
            <w:r>
              <w:rPr>
                <w:rFonts w:ascii="Calibri" w:hAnsi="Calibri"/>
                <w:sz w:val="22"/>
              </w:rPr>
              <w:t>N/A</w:t>
            </w:r>
          </w:p>
        </w:tc>
      </w:tr>
      <w:tr>
        <w:tc>
          <w:tcPr>
            <w:tcW w:type="dxa" w:w="1234"/>
          </w:tcPr>
          <w:p>
            <w:r>
              <w:rPr>
                <w:rFonts w:ascii="Calibri" w:hAnsi="Calibri"/>
                <w:sz w:val="22"/>
              </w:rPr>
              <w:t>Sales &amp; Other Operating Revenue ($B)</w:t>
            </w:r>
          </w:p>
        </w:tc>
        <w:tc>
          <w:tcPr>
            <w:tcW w:type="dxa" w:w="1234"/>
          </w:tcPr>
          <w:p>
            <w:r>
              <w:rPr>
                <w:rFonts w:ascii="Calibri" w:hAnsi="Calibri"/>
                <w:sz w:val="22"/>
              </w:rPr>
              <w:t>$83.2B</w:t>
            </w:r>
          </w:p>
        </w:tc>
        <w:tc>
          <w:tcPr>
            <w:tcW w:type="dxa" w:w="1234"/>
          </w:tcPr>
          <w:p>
            <w:r>
              <w:rPr>
                <w:rFonts w:ascii="Calibri" w:hAnsi="Calibri"/>
                <w:sz w:val="22"/>
              </w:rPr>
              <w:t>$79.5B</w:t>
            </w:r>
          </w:p>
        </w:tc>
        <w:tc>
          <w:tcPr>
            <w:tcW w:type="dxa" w:w="1234"/>
          </w:tcPr>
          <w:p>
            <w:r>
              <w:rPr>
                <w:rFonts w:ascii="Calibri" w:hAnsi="Calibri"/>
                <w:sz w:val="22"/>
              </w:rPr>
              <w:t>$98.3B</w:t>
            </w:r>
          </w:p>
        </w:tc>
        <w:tc>
          <w:tcPr>
            <w:tcW w:type="dxa" w:w="1234"/>
          </w:tcPr>
          <w:p>
            <w:r>
              <w:rPr>
                <w:rFonts w:ascii="Calibri" w:hAnsi="Calibri"/>
                <w:sz w:val="22"/>
              </w:rPr>
              <w:t>+23.7%</w:t>
            </w:r>
          </w:p>
        </w:tc>
        <w:tc>
          <w:tcPr>
            <w:tcW w:type="dxa" w:w="1234"/>
          </w:tcPr>
          <w:p>
            <w:r>
              <w:rPr>
                <w:rFonts w:ascii="Calibri" w:hAnsi="Calibri"/>
                <w:sz w:val="22"/>
              </w:rPr>
              <w:t>No explicit revenue guidance</w:t>
            </w:r>
          </w:p>
        </w:tc>
        <w:tc>
          <w:tcPr>
            <w:tcW w:type="dxa" w:w="1234"/>
          </w:tcPr>
          <w:p>
            <w:r>
              <w:rPr>
                <w:rFonts w:ascii="Calibri" w:hAnsi="Calibri"/>
                <w:sz w:val="22"/>
              </w:rPr>
              <w:t>N/A</w:t>
            </w:r>
          </w:p>
        </w:tc>
      </w:tr>
      <w:tr>
        <w:tc>
          <w:tcPr>
            <w:tcW w:type="dxa" w:w="1234"/>
          </w:tcPr>
          <w:p>
            <w:r>
              <w:rPr>
                <w:rFonts w:ascii="Calibri" w:hAnsi="Calibri"/>
                <w:sz w:val="22"/>
              </w:rPr>
              <w:t>Total Liquids &amp; Gas Production (Mboe/d)</w:t>
            </w:r>
          </w:p>
        </w:tc>
        <w:tc>
          <w:tcPr>
            <w:tcW w:type="dxa" w:w="1234"/>
          </w:tcPr>
          <w:p>
            <w:r>
              <w:rPr>
                <w:rFonts w:ascii="Calibri" w:hAnsi="Calibri"/>
                <w:sz w:val="22"/>
              </w:rPr>
              <w:t>4,594 Mboe/d</w:t>
            </w:r>
          </w:p>
        </w:tc>
        <w:tc>
          <w:tcPr>
            <w:tcW w:type="dxa" w:w="1234"/>
          </w:tcPr>
          <w:p>
            <w:r>
              <w:rPr>
                <w:rFonts w:ascii="Calibri" w:hAnsi="Calibri"/>
                <w:sz w:val="22"/>
              </w:rPr>
              <w:t>4,629 Mboe/d</w:t>
            </w:r>
          </w:p>
        </w:tc>
        <w:tc>
          <w:tcPr>
            <w:tcW w:type="dxa" w:w="1234"/>
          </w:tcPr>
          <w:p>
            <w:r>
              <w:rPr>
                <w:rFonts w:ascii="Calibri" w:hAnsi="Calibri"/>
                <w:sz w:val="22"/>
              </w:rPr>
              <w:t>4,254 Mboe/d</w:t>
            </w:r>
          </w:p>
        </w:tc>
        <w:tc>
          <w:tcPr>
            <w:tcW w:type="dxa" w:w="1234"/>
          </w:tcPr>
          <w:p>
            <w:r>
              <w:rPr>
                <w:rFonts w:ascii="Calibri" w:hAnsi="Calibri"/>
                <w:sz w:val="22"/>
              </w:rPr>
              <w:t>-8.1%</w:t>
            </w:r>
          </w:p>
        </w:tc>
        <w:tc>
          <w:tcPr>
            <w:tcW w:type="dxa" w:w="1234"/>
          </w:tcPr>
          <w:p>
            <w:r>
              <w:rPr>
                <w:rFonts w:ascii="Calibri" w:hAnsi="Calibri"/>
                <w:sz w:val="22"/>
              </w:rPr>
              <w:t>FY 2026 Permian target: 1.8M boe/d</w:t>
            </w:r>
          </w:p>
        </w:tc>
        <w:tc>
          <w:tcPr>
            <w:tcW w:type="dxa" w:w="1234"/>
          </w:tcPr>
          <w:p>
            <w:r>
              <w:rPr>
                <w:rFonts w:ascii="Calibri" w:hAnsi="Calibri"/>
                <w:sz w:val="22"/>
              </w:rPr>
              <w:t>N/A (segment only)</w:t>
            </w:r>
          </w:p>
        </w:tc>
      </w:tr>
      <w:tr>
        <w:tc>
          <w:tcPr>
            <w:tcW w:type="dxa" w:w="1234"/>
          </w:tcPr>
          <w:p>
            <w:r>
              <w:rPr>
                <w:rFonts w:ascii="Calibri" w:hAnsi="Calibri"/>
                <w:sz w:val="22"/>
              </w:rPr>
              <w:t>Permian Production (Mbpd, liquids)</w:t>
            </w:r>
          </w:p>
        </w:tc>
        <w:tc>
          <w:tcPr>
            <w:tcW w:type="dxa" w:w="1234"/>
          </w:tcPr>
          <w:p>
            <w:r>
              <w:rPr>
                <w:rFonts w:ascii="Calibri" w:hAnsi="Calibri"/>
                <w:sz w:val="22"/>
              </w:rPr>
              <w:t>1,264 Mbpd</w:t>
            </w:r>
          </w:p>
        </w:tc>
        <w:tc>
          <w:tcPr>
            <w:tcW w:type="dxa" w:w="1234"/>
          </w:tcPr>
          <w:p>
            <w:r>
              <w:rPr>
                <w:rFonts w:ascii="Calibri" w:hAnsi="Calibri"/>
                <w:sz w:val="22"/>
              </w:rPr>
              <w:t>1,173 Mbpd</w:t>
            </w:r>
          </w:p>
        </w:tc>
        <w:tc>
          <w:tcPr>
            <w:tcW w:type="dxa" w:w="1234"/>
          </w:tcPr>
          <w:p>
            <w:r>
              <w:rPr>
                <w:rFonts w:ascii="Calibri" w:hAnsi="Calibri"/>
                <w:sz w:val="22"/>
              </w:rPr>
              <w:t>1,344 Mbpd</w:t>
            </w:r>
          </w:p>
        </w:tc>
        <w:tc>
          <w:tcPr>
            <w:tcW w:type="dxa" w:w="1234"/>
          </w:tcPr>
          <w:p>
            <w:r>
              <w:rPr>
                <w:rFonts w:ascii="Calibri" w:hAnsi="Calibri"/>
                <w:sz w:val="22"/>
              </w:rPr>
              <w:t>+14.6%</w:t>
            </w:r>
          </w:p>
        </w:tc>
        <w:tc>
          <w:tcPr>
            <w:tcW w:type="dxa" w:w="1234"/>
          </w:tcPr>
          <w:p>
            <w:r>
              <w:rPr>
                <w:rFonts w:ascii="Calibri" w:hAnsi="Calibri"/>
                <w:sz w:val="22"/>
              </w:rPr>
              <w:t>FY 2026: 1.8M boe/d (oil equiv.)</w:t>
            </w:r>
          </w:p>
        </w:tc>
        <w:tc>
          <w:tcPr>
            <w:tcW w:type="dxa" w:w="1234"/>
          </w:tcPr>
          <w:p>
            <w:r>
              <w:rPr>
                <w:rFonts w:ascii="Calibri" w:hAnsi="Calibri"/>
                <w:sz w:val="22"/>
              </w:rPr>
              <w:t>On track</w:t>
            </w:r>
          </w:p>
        </w:tc>
      </w:tr>
      <w:tr>
        <w:tc>
          <w:tcPr>
            <w:tcW w:type="dxa" w:w="1234"/>
          </w:tcPr>
          <w:p>
            <w:r>
              <w:rPr>
                <w:rFonts w:ascii="Calibri" w:hAnsi="Calibri"/>
                <w:sz w:val="22"/>
              </w:rPr>
              <w:t>Refining Margin per Bbl ($)</w:t>
            </w:r>
          </w:p>
        </w:tc>
        <w:tc>
          <w:tcPr>
            <w:tcW w:type="dxa" w:w="1234"/>
          </w:tcPr>
          <w:p>
            <w:r>
              <w:rPr>
                <w:rFonts w:ascii="Calibri" w:hAnsi="Calibri"/>
                <w:sz w:val="22"/>
              </w:rPr>
              <w:t>$14.21/bbl</w:t>
            </w:r>
          </w:p>
        </w:tc>
        <w:tc>
          <w:tcPr>
            <w:tcW w:type="dxa" w:w="1234"/>
          </w:tcPr>
          <w:p>
            <w:r>
              <w:rPr>
                <w:rFonts w:ascii="Calibri" w:hAnsi="Calibri"/>
                <w:sz w:val="22"/>
              </w:rPr>
              <w:t>$12.29/bbl</w:t>
            </w:r>
          </w:p>
        </w:tc>
        <w:tc>
          <w:tcPr>
            <w:tcW w:type="dxa" w:w="1234"/>
          </w:tcPr>
          <w:p>
            <w:r>
              <w:rPr>
                <w:rFonts w:ascii="Calibri" w:hAnsi="Calibri"/>
                <w:sz w:val="22"/>
              </w:rPr>
              <w:t>$28.13/bbl</w:t>
            </w:r>
          </w:p>
        </w:tc>
        <w:tc>
          <w:tcPr>
            <w:tcW w:type="dxa" w:w="1234"/>
          </w:tcPr>
          <w:p>
            <w:r>
              <w:rPr>
                <w:rFonts w:ascii="Calibri" w:hAnsi="Calibri"/>
                <w:sz w:val="22"/>
              </w:rPr>
              <w:t>+129%</w:t>
            </w:r>
          </w:p>
        </w:tc>
        <w:tc>
          <w:tcPr>
            <w:tcW w:type="dxa" w:w="1234"/>
          </w:tcPr>
          <w:p>
            <w:r>
              <w:rPr>
                <w:rFonts w:ascii="Calibri" w:hAnsi="Calibri"/>
                <w:sz w:val="22"/>
              </w:rPr>
              <w:t>Mgmt: “play out very well” in Q2</w:t>
            </w:r>
          </w:p>
        </w:tc>
        <w:tc>
          <w:tcPr>
            <w:tcW w:type="dxa" w:w="1234"/>
          </w:tcPr>
          <w:p>
            <w:r>
              <w:rPr>
                <w:rFonts w:ascii="Calibri" w:hAnsi="Calibri"/>
                <w:sz w:val="22"/>
              </w:rPr>
              <w:t>Consensus above guidance tone</w:t>
            </w:r>
          </w:p>
        </w:tc>
      </w:tr>
      <w:tr>
        <w:tc>
          <w:tcPr>
            <w:tcW w:type="dxa" w:w="1234"/>
          </w:tcPr>
          <w:p>
            <w:r>
              <w:rPr>
                <w:rFonts w:ascii="Calibri" w:hAnsi="Calibri"/>
                <w:sz w:val="22"/>
              </w:rPr>
              <w:t>Free Cash Flow ($B)</w:t>
            </w:r>
          </w:p>
        </w:tc>
        <w:tc>
          <w:tcPr>
            <w:tcW w:type="dxa" w:w="1234"/>
          </w:tcPr>
          <w:p>
            <w:r>
              <w:rPr>
                <w:rFonts w:ascii="Calibri" w:hAnsi="Calibri"/>
                <w:sz w:val="22"/>
              </w:rPr>
              <w:t>$2.2B</w:t>
            </w:r>
          </w:p>
        </w:tc>
        <w:tc>
          <w:tcPr>
            <w:tcW w:type="dxa" w:w="1234"/>
          </w:tcPr>
          <w:p>
            <w:r>
              <w:rPr>
                <w:rFonts w:ascii="Calibri" w:hAnsi="Calibri"/>
                <w:sz w:val="22"/>
              </w:rPr>
              <w:t>$5.3B</w:t>
            </w:r>
          </w:p>
        </w:tc>
        <w:tc>
          <w:tcPr>
            <w:tcW w:type="dxa" w:w="1234"/>
          </w:tcPr>
          <w:p>
            <w:r>
              <w:rPr>
                <w:rFonts w:ascii="Calibri" w:hAnsi="Calibri"/>
                <w:sz w:val="22"/>
              </w:rPr>
              <w:t>$14.7B</w:t>
            </w:r>
          </w:p>
        </w:tc>
        <w:tc>
          <w:tcPr>
            <w:tcW w:type="dxa" w:w="1234"/>
          </w:tcPr>
          <w:p>
            <w:r>
              <w:rPr>
                <w:rFonts w:ascii="Calibri" w:hAnsi="Calibri"/>
                <w:sz w:val="22"/>
              </w:rPr>
              <w:t>+177%</w:t>
            </w:r>
          </w:p>
        </w:tc>
        <w:tc>
          <w:tcPr>
            <w:tcW w:type="dxa" w:w="1234"/>
          </w:tcPr>
          <w:p>
            <w:r>
              <w:rPr>
                <w:rFonts w:ascii="Calibri" w:hAnsi="Calibri"/>
                <w:sz w:val="22"/>
              </w:rPr>
              <w:t>FY 2026 consensus: ~$44.8B</w:t>
            </w:r>
          </w:p>
        </w:tc>
        <w:tc>
          <w:tcPr>
            <w:tcW w:type="dxa" w:w="1234"/>
          </w:tcPr>
          <w:p>
            <w:r>
              <w:rPr>
                <w:rFonts w:ascii="Calibri" w:hAnsi="Calibri"/>
                <w:sz w:val="22"/>
              </w:rPr>
              <w:t>N/A</w:t>
            </w:r>
          </w:p>
        </w:tc>
      </w:tr>
      <w:tr>
        <w:tc>
          <w:tcPr>
            <w:tcW w:type="dxa" w:w="1234"/>
          </w:tcPr>
          <w:p>
            <w:r>
              <w:rPr>
                <w:rFonts w:ascii="Calibri" w:hAnsi="Calibri"/>
                <w:sz w:val="22"/>
              </w:rPr>
              <w:t>Capex ($B)</w:t>
            </w:r>
          </w:p>
        </w:tc>
        <w:tc>
          <w:tcPr>
            <w:tcW w:type="dxa" w:w="1234"/>
          </w:tcPr>
          <w:p>
            <w:r>
              <w:rPr>
                <w:rFonts w:ascii="Calibri" w:hAnsi="Calibri"/>
                <w:sz w:val="22"/>
              </w:rPr>
              <w:t>$6.2B</w:t>
            </w:r>
          </w:p>
        </w:tc>
        <w:tc>
          <w:tcPr>
            <w:tcW w:type="dxa" w:w="1234"/>
          </w:tcPr>
          <w:p>
            <w:r>
              <w:rPr>
                <w:rFonts w:ascii="Calibri" w:hAnsi="Calibri"/>
                <w:sz w:val="22"/>
              </w:rPr>
              <w:t>$6.3B</w:t>
            </w:r>
          </w:p>
        </w:tc>
        <w:tc>
          <w:tcPr>
            <w:tcW w:type="dxa" w:w="1234"/>
          </w:tcPr>
          <w:p>
            <w:r>
              <w:rPr>
                <w:rFonts w:ascii="Calibri" w:hAnsi="Calibri"/>
                <w:sz w:val="22"/>
              </w:rPr>
              <w:t>$7.1B</w:t>
            </w:r>
          </w:p>
        </w:tc>
        <w:tc>
          <w:tcPr>
            <w:tcW w:type="dxa" w:w="1234"/>
          </w:tcPr>
          <w:p>
            <w:r>
              <w:rPr>
                <w:rFonts w:ascii="Calibri" w:hAnsi="Calibri"/>
                <w:sz w:val="22"/>
              </w:rPr>
              <w:t>+12.7%</w:t>
            </w:r>
          </w:p>
        </w:tc>
        <w:tc>
          <w:tcPr>
            <w:tcW w:type="dxa" w:w="1234"/>
          </w:tcPr>
          <w:p>
            <w:r>
              <w:rPr>
                <w:rFonts w:ascii="Calibri" w:hAnsi="Calibri"/>
                <w:sz w:val="22"/>
              </w:rPr>
              <w:t>FY 2026: ~$28.2B consensus</w:t>
            </w:r>
          </w:p>
        </w:tc>
        <w:tc>
          <w:tcPr>
            <w:tcW w:type="dxa" w:w="1234"/>
          </w:tcPr>
          <w:p>
            <w:r>
              <w:rPr>
                <w:rFonts w:ascii="Calibri" w:hAnsi="Calibri"/>
                <w:sz w:val="22"/>
              </w:rPr>
              <w:t>N/A</w:t>
            </w:r>
          </w:p>
        </w:tc>
      </w:tr>
      <w:tr>
        <w:tc>
          <w:tcPr>
            <w:tcW w:type="dxa" w:w="1234"/>
          </w:tcPr>
          <w:p>
            <w:r>
              <w:rPr>
                <w:rFonts w:ascii="Calibri" w:hAnsi="Calibri"/>
                <w:sz w:val="22"/>
              </w:rPr>
              <w:t>Operating Net Income ($B)</w:t>
            </w:r>
          </w:p>
        </w:tc>
        <w:tc>
          <w:tcPr>
            <w:tcW w:type="dxa" w:w="1234"/>
          </w:tcPr>
          <w:p>
            <w:r>
              <w:rPr>
                <w:rFonts w:ascii="Calibri" w:hAnsi="Calibri"/>
                <w:sz w:val="22"/>
              </w:rPr>
              <w:t>$4.9B</w:t>
            </w:r>
          </w:p>
        </w:tc>
        <w:tc>
          <w:tcPr>
            <w:tcW w:type="dxa" w:w="1234"/>
          </w:tcPr>
          <w:p>
            <w:r>
              <w:rPr>
                <w:rFonts w:ascii="Calibri" w:hAnsi="Calibri"/>
                <w:sz w:val="22"/>
              </w:rPr>
              <w:t>$7.1B</w:t>
            </w:r>
          </w:p>
        </w:tc>
        <w:tc>
          <w:tcPr>
            <w:tcW w:type="dxa" w:w="1234"/>
          </w:tcPr>
          <w:p>
            <w:r>
              <w:rPr>
                <w:rFonts w:ascii="Calibri" w:hAnsi="Calibri"/>
                <w:sz w:val="22"/>
              </w:rPr>
              <w:t>$14.8B</w:t>
            </w:r>
          </w:p>
        </w:tc>
        <w:tc>
          <w:tcPr>
            <w:tcW w:type="dxa" w:w="1234"/>
          </w:tcPr>
          <w:p>
            <w:r>
              <w:rPr>
                <w:rFonts w:ascii="Calibri" w:hAnsi="Calibri"/>
                <w:sz w:val="22"/>
              </w:rPr>
              <w:t>+108%</w:t>
            </w:r>
          </w:p>
        </w:tc>
        <w:tc>
          <w:tcPr>
            <w:tcW w:type="dxa" w:w="1234"/>
          </w:tcPr>
          <w:p>
            <w:r>
              <w:rPr>
                <w:rFonts w:ascii="Calibri" w:hAnsi="Calibri"/>
                <w:sz w:val="22"/>
              </w:rPr>
              <w:t>No explicit guidance</w:t>
            </w:r>
          </w:p>
        </w:tc>
        <w:tc>
          <w:tcPr>
            <w:tcW w:type="dxa" w:w="1234"/>
          </w:tcPr>
          <w:p>
            <w:r>
              <w:rPr>
                <w:rFonts w:ascii="Calibri" w:hAnsi="Calibri"/>
                <w:sz w:val="22"/>
              </w:rPr>
              <w:t>N/A</w:t>
            </w:r>
          </w:p>
        </w:tc>
      </w:tr>
    </w:tbl>
    <w:p>
      <w:r>
        <w:rPr>
          <w:rFonts w:ascii="Calibri" w:hAnsi="Calibri"/>
          <w:i/>
          <w:color w:val="525866"/>
          <w:sz w:val="22"/>
        </w:rPr>
        <w:t>Source: Visible Alpha Consensus and Actuals Data. All consensus figures as of July 30, 2026. Q1 2026 actuals are reported figures. Note: Q2 2026 consensus refining margin of $28.13/bbl reflects the extraordinary Middle East disruption environment; this is a significant step-up from historical norms.</w:t>
      </w:r>
    </w:p>
    <w:p>
      <w:pPr>
        <w:pStyle w:val="Heading3"/>
      </w:pPr>
      <w:r>
        <w:rPr>
          <w:rFonts w:ascii="Calibri" w:hAnsi="Calibri"/>
          <w:b/>
          <w:color w:val="3B4259"/>
          <w:sz w:val="24"/>
        </w:rPr>
        <w:t>Table 2 — Beat/Miss History (Last 8 Quarters, Top 2 KPIs)</w:t>
      </w:r>
    </w:p>
    <w:p>
      <w:r>
        <w:rPr>
          <w:rFonts w:ascii="Calibri" w:hAnsi="Calibri"/>
          <w:b/>
          <w:color w:val="525866"/>
          <w:sz w:val="22"/>
        </w:rPr>
        <w:t>KPI 1: EPS — Diluted Operating ($)</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shd w:val="clear" w:color="auto" w:fill="3B4259"/>
          </w:tcPr>
          <w:p>
            <w:r>
              <w:rPr>
                <w:rFonts w:ascii="Calibri" w:hAnsi="Calibri"/>
                <w:b/>
                <w:color w:val="FFFFFF"/>
                <w:sz w:val="22"/>
              </w:rPr>
              <w:t>Quarter</w:t>
            </w:r>
          </w:p>
        </w:tc>
        <w:tc>
          <w:tcPr>
            <w:tcW w:type="dxa" w:w="1728"/>
            <w:shd w:val="clear" w:color="auto" w:fill="3B4259"/>
          </w:tcPr>
          <w:p>
            <w:r>
              <w:rPr>
                <w:rFonts w:ascii="Calibri" w:hAnsi="Calibri"/>
                <w:b/>
                <w:color w:val="FFFFFF"/>
                <w:sz w:val="22"/>
              </w:rPr>
              <w:t>Reported</w:t>
            </w:r>
          </w:p>
        </w:tc>
        <w:tc>
          <w:tcPr>
            <w:tcW w:type="dxa" w:w="1728"/>
            <w:shd w:val="clear" w:color="auto" w:fill="3B4259"/>
          </w:tcPr>
          <w:p>
            <w:r>
              <w:rPr>
                <w:rFonts w:ascii="Calibri" w:hAnsi="Calibri"/>
                <w:b/>
                <w:color w:val="FFFFFF"/>
                <w:sz w:val="22"/>
              </w:rPr>
              <w:t>Consensus</w:t>
            </w:r>
          </w:p>
        </w:tc>
        <w:tc>
          <w:tcPr>
            <w:tcW w:type="dxa" w:w="1728"/>
            <w:shd w:val="clear" w:color="auto" w:fill="3B4259"/>
          </w:tcPr>
          <w:p>
            <w:r>
              <w:rPr>
                <w:rFonts w:ascii="Calibri" w:hAnsi="Calibri"/>
                <w:b/>
                <w:color w:val="FFFFFF"/>
                <w:sz w:val="22"/>
              </w:rPr>
              <w:t>Surprise %</w:t>
            </w:r>
          </w:p>
        </w:tc>
        <w:tc>
          <w:tcPr>
            <w:tcW w:type="dxa" w:w="1728"/>
            <w:shd w:val="clear" w:color="auto" w:fill="3B4259"/>
          </w:tcPr>
          <w:p>
            <w:r>
              <w:rPr>
                <w:rFonts w:ascii="Calibri" w:hAnsi="Calibri"/>
                <w:b/>
                <w:color w:val="FFFFFF"/>
                <w:sz w:val="22"/>
              </w:rPr>
              <w:t>Result</w:t>
            </w:r>
          </w:p>
        </w:tc>
      </w:tr>
      <w:tr>
        <w:tc>
          <w:tcPr>
            <w:tcW w:type="dxa" w:w="1728"/>
          </w:tcPr>
          <w:p>
            <w:r>
              <w:rPr>
                <w:rFonts w:ascii="Calibri" w:hAnsi="Calibri"/>
                <w:sz w:val="22"/>
              </w:rPr>
              <w:t>Q2 2024</w:t>
            </w:r>
          </w:p>
        </w:tc>
        <w:tc>
          <w:tcPr>
            <w:tcW w:type="dxa" w:w="1728"/>
          </w:tcPr>
          <w:p>
            <w:r>
              <w:rPr>
                <w:rFonts w:ascii="Calibri" w:hAnsi="Calibri"/>
                <w:sz w:val="22"/>
              </w:rPr>
              <w:t>$2.14</w:t>
            </w:r>
          </w:p>
        </w:tc>
        <w:tc>
          <w:tcPr>
            <w:tcW w:type="dxa" w:w="1728"/>
          </w:tcPr>
          <w:p>
            <w:r>
              <w:rPr>
                <w:rFonts w:ascii="Calibri" w:hAnsi="Calibri"/>
                <w:sz w:val="22"/>
              </w:rPr>
              <w:t>$2.05</w:t>
            </w:r>
          </w:p>
        </w:tc>
        <w:tc>
          <w:tcPr>
            <w:tcW w:type="dxa" w:w="1728"/>
          </w:tcPr>
          <w:p>
            <w:r>
              <w:rPr>
                <w:rFonts w:ascii="Calibri" w:hAnsi="Calibri"/>
                <w:sz w:val="22"/>
              </w:rPr>
              <w:t>+4.6%</w:t>
            </w:r>
          </w:p>
        </w:tc>
        <w:tc>
          <w:tcPr>
            <w:tcW w:type="dxa" w:w="1728"/>
          </w:tcPr>
          <w:p>
            <w:r>
              <w:rPr>
                <w:rFonts w:ascii="Calibri" w:hAnsi="Calibri"/>
                <w:b/>
                <w:color w:val="30A46C"/>
                <w:sz w:val="22"/>
              </w:rPr>
              <w:t>Beat</w:t>
            </w:r>
          </w:p>
        </w:tc>
      </w:tr>
      <w:tr>
        <w:tc>
          <w:tcPr>
            <w:tcW w:type="dxa" w:w="1728"/>
          </w:tcPr>
          <w:p>
            <w:r>
              <w:rPr>
                <w:rFonts w:ascii="Calibri" w:hAnsi="Calibri"/>
                <w:sz w:val="22"/>
              </w:rPr>
              <w:t>Q3 2024</w:t>
            </w:r>
          </w:p>
        </w:tc>
        <w:tc>
          <w:tcPr>
            <w:tcW w:type="dxa" w:w="1728"/>
          </w:tcPr>
          <w:p>
            <w:r>
              <w:rPr>
                <w:rFonts w:ascii="Calibri" w:hAnsi="Calibri"/>
                <w:sz w:val="22"/>
              </w:rPr>
              <w:t>$1.92</w:t>
            </w:r>
          </w:p>
        </w:tc>
        <w:tc>
          <w:tcPr>
            <w:tcW w:type="dxa" w:w="1728"/>
          </w:tcPr>
          <w:p>
            <w:r>
              <w:rPr>
                <w:rFonts w:ascii="Calibri" w:hAnsi="Calibri"/>
                <w:sz w:val="22"/>
              </w:rPr>
              <w:t>$1.87</w:t>
            </w:r>
          </w:p>
        </w:tc>
        <w:tc>
          <w:tcPr>
            <w:tcW w:type="dxa" w:w="1728"/>
          </w:tcPr>
          <w:p>
            <w:r>
              <w:rPr>
                <w:rFonts w:ascii="Calibri" w:hAnsi="Calibri"/>
                <w:sz w:val="22"/>
              </w:rPr>
              <w:t>+2.7%</w:t>
            </w:r>
          </w:p>
        </w:tc>
        <w:tc>
          <w:tcPr>
            <w:tcW w:type="dxa" w:w="1728"/>
          </w:tcPr>
          <w:p>
            <w:r>
              <w:rPr>
                <w:rFonts w:ascii="Calibri" w:hAnsi="Calibri"/>
                <w:b/>
                <w:color w:val="30A46C"/>
                <w:sz w:val="22"/>
              </w:rPr>
              <w:t>Beat</w:t>
            </w:r>
          </w:p>
        </w:tc>
      </w:tr>
      <w:tr>
        <w:tc>
          <w:tcPr>
            <w:tcW w:type="dxa" w:w="1728"/>
          </w:tcPr>
          <w:p>
            <w:r>
              <w:rPr>
                <w:rFonts w:ascii="Calibri" w:hAnsi="Calibri"/>
                <w:sz w:val="22"/>
              </w:rPr>
              <w:t>Q4 2024</w:t>
            </w:r>
          </w:p>
        </w:tc>
        <w:tc>
          <w:tcPr>
            <w:tcW w:type="dxa" w:w="1728"/>
          </w:tcPr>
          <w:p>
            <w:r>
              <w:rPr>
                <w:rFonts w:ascii="Calibri" w:hAnsi="Calibri"/>
                <w:sz w:val="22"/>
              </w:rPr>
              <w:t>$1.68</w:t>
            </w:r>
          </w:p>
        </w:tc>
        <w:tc>
          <w:tcPr>
            <w:tcW w:type="dxa" w:w="1728"/>
          </w:tcPr>
          <w:p>
            <w:r>
              <w:rPr>
                <w:rFonts w:ascii="Calibri" w:hAnsi="Calibri"/>
                <w:sz w:val="22"/>
              </w:rPr>
              <w:t>$1.58</w:t>
            </w:r>
          </w:p>
        </w:tc>
        <w:tc>
          <w:tcPr>
            <w:tcW w:type="dxa" w:w="1728"/>
          </w:tcPr>
          <w:p>
            <w:r>
              <w:rPr>
                <w:rFonts w:ascii="Calibri" w:hAnsi="Calibri"/>
                <w:sz w:val="22"/>
              </w:rPr>
              <w:t>+6.3%</w:t>
            </w:r>
          </w:p>
        </w:tc>
        <w:tc>
          <w:tcPr>
            <w:tcW w:type="dxa" w:w="1728"/>
          </w:tcPr>
          <w:p>
            <w:r>
              <w:rPr>
                <w:rFonts w:ascii="Calibri" w:hAnsi="Calibri"/>
                <w:b/>
                <w:color w:val="30A46C"/>
                <w:sz w:val="22"/>
              </w:rPr>
              <w:t>Beat</w:t>
            </w:r>
          </w:p>
        </w:tc>
      </w:tr>
      <w:tr>
        <w:tc>
          <w:tcPr>
            <w:tcW w:type="dxa" w:w="1728"/>
          </w:tcPr>
          <w:p>
            <w:r>
              <w:rPr>
                <w:rFonts w:ascii="Calibri" w:hAnsi="Calibri"/>
                <w:sz w:val="22"/>
              </w:rPr>
              <w:t>Q1 2025</w:t>
            </w:r>
          </w:p>
        </w:tc>
        <w:tc>
          <w:tcPr>
            <w:tcW w:type="dxa" w:w="1728"/>
          </w:tcPr>
          <w:p>
            <w:r>
              <w:rPr>
                <w:rFonts w:ascii="Calibri" w:hAnsi="Calibri"/>
                <w:sz w:val="22"/>
              </w:rPr>
              <w:t>$1.76</w:t>
            </w:r>
          </w:p>
        </w:tc>
        <w:tc>
          <w:tcPr>
            <w:tcW w:type="dxa" w:w="1728"/>
          </w:tcPr>
          <w:p>
            <w:r>
              <w:rPr>
                <w:rFonts w:ascii="Calibri" w:hAnsi="Calibri"/>
                <w:sz w:val="22"/>
              </w:rPr>
              <w:t>$1.75</w:t>
            </w:r>
          </w:p>
        </w:tc>
        <w:tc>
          <w:tcPr>
            <w:tcW w:type="dxa" w:w="1728"/>
          </w:tcPr>
          <w:p>
            <w:r>
              <w:rPr>
                <w:rFonts w:ascii="Calibri" w:hAnsi="Calibri"/>
                <w:sz w:val="22"/>
              </w:rPr>
              <w:t>+0.6%</w:t>
            </w:r>
          </w:p>
        </w:tc>
        <w:tc>
          <w:tcPr>
            <w:tcW w:type="dxa" w:w="1728"/>
          </w:tcPr>
          <w:p>
            <w:r>
              <w:rPr>
                <w:rFonts w:ascii="Calibri" w:hAnsi="Calibri"/>
                <w:b/>
                <w:color w:val="30A46C"/>
                <w:sz w:val="22"/>
              </w:rPr>
              <w:t>Beat</w:t>
            </w:r>
          </w:p>
        </w:tc>
      </w:tr>
      <w:tr>
        <w:tc>
          <w:tcPr>
            <w:tcW w:type="dxa" w:w="1728"/>
          </w:tcPr>
          <w:p>
            <w:r>
              <w:rPr>
                <w:rFonts w:ascii="Calibri" w:hAnsi="Calibri"/>
                <w:sz w:val="22"/>
              </w:rPr>
              <w:t>Q2 2025</w:t>
            </w:r>
          </w:p>
        </w:tc>
        <w:tc>
          <w:tcPr>
            <w:tcW w:type="dxa" w:w="1728"/>
          </w:tcPr>
          <w:p>
            <w:r>
              <w:rPr>
                <w:rFonts w:ascii="Calibri" w:hAnsi="Calibri"/>
                <w:sz w:val="22"/>
              </w:rPr>
              <w:t>$1.64</w:t>
            </w:r>
          </w:p>
        </w:tc>
        <w:tc>
          <w:tcPr>
            <w:tcW w:type="dxa" w:w="1728"/>
          </w:tcPr>
          <w:p>
            <w:r>
              <w:rPr>
                <w:rFonts w:ascii="Calibri" w:hAnsi="Calibri"/>
                <w:sz w:val="22"/>
              </w:rPr>
              <w:t>$1.54</w:t>
            </w:r>
          </w:p>
        </w:tc>
        <w:tc>
          <w:tcPr>
            <w:tcW w:type="dxa" w:w="1728"/>
          </w:tcPr>
          <w:p>
            <w:r>
              <w:rPr>
                <w:rFonts w:ascii="Calibri" w:hAnsi="Calibri"/>
                <w:sz w:val="22"/>
              </w:rPr>
              <w:t>+6.5%</w:t>
            </w:r>
          </w:p>
        </w:tc>
        <w:tc>
          <w:tcPr>
            <w:tcW w:type="dxa" w:w="1728"/>
          </w:tcPr>
          <w:p>
            <w:r>
              <w:rPr>
                <w:rFonts w:ascii="Calibri" w:hAnsi="Calibri"/>
                <w:b/>
                <w:color w:val="30A46C"/>
                <w:sz w:val="22"/>
              </w:rPr>
              <w:t>Beat</w:t>
            </w:r>
          </w:p>
        </w:tc>
      </w:tr>
      <w:tr>
        <w:tc>
          <w:tcPr>
            <w:tcW w:type="dxa" w:w="1728"/>
          </w:tcPr>
          <w:p>
            <w:r>
              <w:rPr>
                <w:rFonts w:ascii="Calibri" w:hAnsi="Calibri"/>
                <w:sz w:val="22"/>
              </w:rPr>
              <w:t>Q3 2025</w:t>
            </w:r>
          </w:p>
        </w:tc>
        <w:tc>
          <w:tcPr>
            <w:tcW w:type="dxa" w:w="1728"/>
          </w:tcPr>
          <w:p>
            <w:r>
              <w:rPr>
                <w:rFonts w:ascii="Calibri" w:hAnsi="Calibri"/>
                <w:sz w:val="22"/>
              </w:rPr>
              <w:t>$1.88</w:t>
            </w:r>
          </w:p>
        </w:tc>
        <w:tc>
          <w:tcPr>
            <w:tcW w:type="dxa" w:w="1728"/>
          </w:tcPr>
          <w:p>
            <w:r>
              <w:rPr>
                <w:rFonts w:ascii="Calibri" w:hAnsi="Calibri"/>
                <w:sz w:val="22"/>
              </w:rPr>
              <w:t>$1.81</w:t>
            </w:r>
          </w:p>
        </w:tc>
        <w:tc>
          <w:tcPr>
            <w:tcW w:type="dxa" w:w="1728"/>
          </w:tcPr>
          <w:p>
            <w:r>
              <w:rPr>
                <w:rFonts w:ascii="Calibri" w:hAnsi="Calibri"/>
                <w:sz w:val="22"/>
              </w:rPr>
              <w:t>+3.9%</w:t>
            </w:r>
          </w:p>
        </w:tc>
        <w:tc>
          <w:tcPr>
            <w:tcW w:type="dxa" w:w="1728"/>
          </w:tcPr>
          <w:p>
            <w:r>
              <w:rPr>
                <w:rFonts w:ascii="Calibri" w:hAnsi="Calibri"/>
                <w:b/>
                <w:color w:val="30A46C"/>
                <w:sz w:val="22"/>
              </w:rPr>
              <w:t>Beat</w:t>
            </w:r>
          </w:p>
        </w:tc>
      </w:tr>
      <w:tr>
        <w:tc>
          <w:tcPr>
            <w:tcW w:type="dxa" w:w="1728"/>
          </w:tcPr>
          <w:p>
            <w:r>
              <w:rPr>
                <w:rFonts w:ascii="Calibri" w:hAnsi="Calibri"/>
                <w:sz w:val="22"/>
              </w:rPr>
              <w:t>Q4 2025</w:t>
            </w:r>
          </w:p>
        </w:tc>
        <w:tc>
          <w:tcPr>
            <w:tcW w:type="dxa" w:w="1728"/>
          </w:tcPr>
          <w:p>
            <w:r>
              <w:rPr>
                <w:rFonts w:ascii="Calibri" w:hAnsi="Calibri"/>
                <w:sz w:val="22"/>
              </w:rPr>
              <w:t>$1.71</w:t>
            </w:r>
          </w:p>
        </w:tc>
        <w:tc>
          <w:tcPr>
            <w:tcW w:type="dxa" w:w="1728"/>
          </w:tcPr>
          <w:p>
            <w:r>
              <w:rPr>
                <w:rFonts w:ascii="Calibri" w:hAnsi="Calibri"/>
                <w:sz w:val="22"/>
              </w:rPr>
              <w:t>$1.70</w:t>
            </w:r>
          </w:p>
        </w:tc>
        <w:tc>
          <w:tcPr>
            <w:tcW w:type="dxa" w:w="1728"/>
          </w:tcPr>
          <w:p>
            <w:r>
              <w:rPr>
                <w:rFonts w:ascii="Calibri" w:hAnsi="Calibri"/>
                <w:sz w:val="22"/>
              </w:rPr>
              <w:t>+0.6%</w:t>
            </w:r>
          </w:p>
        </w:tc>
        <w:tc>
          <w:tcPr>
            <w:tcW w:type="dxa" w:w="1728"/>
          </w:tcPr>
          <w:p>
            <w:r>
              <w:rPr>
                <w:rFonts w:ascii="Calibri" w:hAnsi="Calibri"/>
                <w:b/>
                <w:color w:val="30A46C"/>
                <w:sz w:val="22"/>
              </w:rPr>
              <w:t>Beat</w:t>
            </w:r>
          </w:p>
        </w:tc>
      </w:tr>
      <w:tr>
        <w:tc>
          <w:tcPr>
            <w:tcW w:type="dxa" w:w="1728"/>
          </w:tcPr>
          <w:p>
            <w:r>
              <w:rPr>
                <w:rFonts w:ascii="Calibri" w:hAnsi="Calibri"/>
                <w:sz w:val="22"/>
              </w:rPr>
              <w:t>Q1 2026</w:t>
            </w:r>
          </w:p>
        </w:tc>
        <w:tc>
          <w:tcPr>
            <w:tcW w:type="dxa" w:w="1728"/>
          </w:tcPr>
          <w:p>
            <w:r>
              <w:rPr>
                <w:rFonts w:ascii="Calibri" w:hAnsi="Calibri"/>
                <w:sz w:val="22"/>
              </w:rPr>
              <w:t>$2.09</w:t>
            </w:r>
          </w:p>
        </w:tc>
        <w:tc>
          <w:tcPr>
            <w:tcW w:type="dxa" w:w="1728"/>
          </w:tcPr>
          <w:p>
            <w:r>
              <w:rPr>
                <w:rFonts w:ascii="Calibri" w:hAnsi="Calibri"/>
                <w:sz w:val="22"/>
              </w:rPr>
              <w:t>$0.94</w:t>
            </w:r>
          </w:p>
        </w:tc>
        <w:tc>
          <w:tcPr>
            <w:tcW w:type="dxa" w:w="1728"/>
          </w:tcPr>
          <w:p>
            <w:r>
              <w:rPr>
                <w:rFonts w:ascii="Calibri" w:hAnsi="Calibri"/>
                <w:sz w:val="22"/>
              </w:rPr>
              <w:t>+122%</w:t>
            </w:r>
          </w:p>
        </w:tc>
        <w:tc>
          <w:tcPr>
            <w:tcW w:type="dxa" w:w="1728"/>
          </w:tcPr>
          <w:p>
            <w:r>
              <w:rPr>
                <w:rFonts w:ascii="Calibri" w:hAnsi="Calibri"/>
                <w:b/>
                <w:color w:val="30A46C"/>
                <w:sz w:val="22"/>
              </w:rPr>
              <w:t>Beat</w:t>
            </w:r>
          </w:p>
        </w:tc>
      </w:tr>
    </w:tbl>
    <w:p>
      <w:r>
        <w:rPr>
          <w:rFonts w:ascii="Calibri" w:hAnsi="Calibri"/>
          <w:i/>
          <w:color w:val="525866"/>
          <w:sz w:val="22"/>
        </w:rPr>
        <w:t>Note: Q1 2026 consensus was severely depressed by the GAAP noise from timing effects and the identified item; the operating EPS beat was large but reflects the market’s difficulty in modeling the timing reversal. XOM has beaten operating EPS consensus in all 8 of the last 8 quarters, with a median surprise of ~+4%. The bar is consistently beatable.</w:t>
      </w:r>
    </w:p>
    <w:p>
      <w:r>
        <w:rPr>
          <w:rFonts w:ascii="Calibri" w:hAnsi="Calibri"/>
          <w:b/>
          <w:color w:val="525866"/>
          <w:sz w:val="22"/>
        </w:rPr>
        <w:t>KPI 2: Total Worldwide Liquids &amp; Gas Production (Mboe/d)</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shd w:val="clear" w:color="auto" w:fill="3B4259"/>
          </w:tcPr>
          <w:p>
            <w:r>
              <w:rPr>
                <w:rFonts w:ascii="Calibri" w:hAnsi="Calibri"/>
                <w:b/>
                <w:color w:val="FFFFFF"/>
                <w:sz w:val="22"/>
              </w:rPr>
              <w:t>Quarter</w:t>
            </w:r>
          </w:p>
        </w:tc>
        <w:tc>
          <w:tcPr>
            <w:tcW w:type="dxa" w:w="1728"/>
            <w:shd w:val="clear" w:color="auto" w:fill="3B4259"/>
          </w:tcPr>
          <w:p>
            <w:r>
              <w:rPr>
                <w:rFonts w:ascii="Calibri" w:hAnsi="Calibri"/>
                <w:b/>
                <w:color w:val="FFFFFF"/>
                <w:sz w:val="22"/>
              </w:rPr>
              <w:t>Reported (Mboe/d)</w:t>
            </w:r>
          </w:p>
        </w:tc>
        <w:tc>
          <w:tcPr>
            <w:tcW w:type="dxa" w:w="1728"/>
            <w:shd w:val="clear" w:color="auto" w:fill="3B4259"/>
          </w:tcPr>
          <w:p>
            <w:r>
              <w:rPr>
                <w:rFonts w:ascii="Calibri" w:hAnsi="Calibri"/>
                <w:b/>
                <w:color w:val="FFFFFF"/>
                <w:sz w:val="22"/>
              </w:rPr>
              <w:t>Consensus (Mboe/d)</w:t>
            </w:r>
          </w:p>
        </w:tc>
        <w:tc>
          <w:tcPr>
            <w:tcW w:type="dxa" w:w="1728"/>
            <w:shd w:val="clear" w:color="auto" w:fill="3B4259"/>
          </w:tcPr>
          <w:p>
            <w:r>
              <w:rPr>
                <w:rFonts w:ascii="Calibri" w:hAnsi="Calibri"/>
                <w:b/>
                <w:color w:val="FFFFFF"/>
                <w:sz w:val="22"/>
              </w:rPr>
              <w:t>Surprise %</w:t>
            </w:r>
          </w:p>
        </w:tc>
        <w:tc>
          <w:tcPr>
            <w:tcW w:type="dxa" w:w="1728"/>
            <w:shd w:val="clear" w:color="auto" w:fill="3B4259"/>
          </w:tcPr>
          <w:p>
            <w:r>
              <w:rPr>
                <w:rFonts w:ascii="Calibri" w:hAnsi="Calibri"/>
                <w:b/>
                <w:color w:val="FFFFFF"/>
                <w:sz w:val="22"/>
              </w:rPr>
              <w:t>Result</w:t>
            </w:r>
          </w:p>
        </w:tc>
      </w:tr>
      <w:tr>
        <w:tc>
          <w:tcPr>
            <w:tcW w:type="dxa" w:w="1728"/>
          </w:tcPr>
          <w:p>
            <w:r>
              <w:rPr>
                <w:rFonts w:ascii="Calibri" w:hAnsi="Calibri"/>
                <w:sz w:val="22"/>
              </w:rPr>
              <w:t>Q2 2024</w:t>
            </w:r>
          </w:p>
        </w:tc>
        <w:tc>
          <w:tcPr>
            <w:tcW w:type="dxa" w:w="1728"/>
          </w:tcPr>
          <w:p>
            <w:r>
              <w:rPr>
                <w:rFonts w:ascii="Calibri" w:hAnsi="Calibri"/>
                <w:sz w:val="22"/>
              </w:rPr>
              <w:t>4,358</w:t>
            </w:r>
          </w:p>
        </w:tc>
        <w:tc>
          <w:tcPr>
            <w:tcW w:type="dxa" w:w="1728"/>
          </w:tcPr>
          <w:p>
            <w:r>
              <w:rPr>
                <w:rFonts w:ascii="Calibri" w:hAnsi="Calibri"/>
                <w:sz w:val="22"/>
              </w:rPr>
              <w:t>4,189</w:t>
            </w:r>
          </w:p>
        </w:tc>
        <w:tc>
          <w:tcPr>
            <w:tcW w:type="dxa" w:w="1728"/>
          </w:tcPr>
          <w:p>
            <w:r>
              <w:rPr>
                <w:rFonts w:ascii="Calibri" w:hAnsi="Calibri"/>
                <w:sz w:val="22"/>
              </w:rPr>
              <w:t>+4.0%</w:t>
            </w:r>
          </w:p>
        </w:tc>
        <w:tc>
          <w:tcPr>
            <w:tcW w:type="dxa" w:w="1728"/>
          </w:tcPr>
          <w:p>
            <w:r>
              <w:rPr>
                <w:rFonts w:ascii="Calibri" w:hAnsi="Calibri"/>
                <w:b/>
                <w:color w:val="30A46C"/>
                <w:sz w:val="22"/>
              </w:rPr>
              <w:t>Beat</w:t>
            </w:r>
          </w:p>
        </w:tc>
      </w:tr>
      <w:tr>
        <w:tc>
          <w:tcPr>
            <w:tcW w:type="dxa" w:w="1728"/>
          </w:tcPr>
          <w:p>
            <w:r>
              <w:rPr>
                <w:rFonts w:ascii="Calibri" w:hAnsi="Calibri"/>
                <w:sz w:val="22"/>
              </w:rPr>
              <w:t>Q3 2024</w:t>
            </w:r>
          </w:p>
        </w:tc>
        <w:tc>
          <w:tcPr>
            <w:tcW w:type="dxa" w:w="1728"/>
          </w:tcPr>
          <w:p>
            <w:r>
              <w:rPr>
                <w:rFonts w:ascii="Calibri" w:hAnsi="Calibri"/>
                <w:sz w:val="22"/>
              </w:rPr>
              <w:t>4,582</w:t>
            </w:r>
          </w:p>
        </w:tc>
        <w:tc>
          <w:tcPr>
            <w:tcW w:type="dxa" w:w="1728"/>
          </w:tcPr>
          <w:p>
            <w:r>
              <w:rPr>
                <w:rFonts w:ascii="Calibri" w:hAnsi="Calibri"/>
                <w:sz w:val="22"/>
              </w:rPr>
              <w:t>4,526</w:t>
            </w:r>
          </w:p>
        </w:tc>
        <w:tc>
          <w:tcPr>
            <w:tcW w:type="dxa" w:w="1728"/>
          </w:tcPr>
          <w:p>
            <w:r>
              <w:rPr>
                <w:rFonts w:ascii="Calibri" w:hAnsi="Calibri"/>
                <w:sz w:val="22"/>
              </w:rPr>
              <w:t>+1.2%</w:t>
            </w:r>
          </w:p>
        </w:tc>
        <w:tc>
          <w:tcPr>
            <w:tcW w:type="dxa" w:w="1728"/>
          </w:tcPr>
          <w:p>
            <w:r>
              <w:rPr>
                <w:rFonts w:ascii="Calibri" w:hAnsi="Calibri"/>
                <w:b/>
                <w:color w:val="30A46C"/>
                <w:sz w:val="22"/>
              </w:rPr>
              <w:t>Beat</w:t>
            </w:r>
          </w:p>
        </w:tc>
      </w:tr>
      <w:tr>
        <w:tc>
          <w:tcPr>
            <w:tcW w:type="dxa" w:w="1728"/>
          </w:tcPr>
          <w:p>
            <w:r>
              <w:rPr>
                <w:rFonts w:ascii="Calibri" w:hAnsi="Calibri"/>
                <w:sz w:val="22"/>
              </w:rPr>
              <w:t>Q4 2024</w:t>
            </w:r>
          </w:p>
        </w:tc>
        <w:tc>
          <w:tcPr>
            <w:tcW w:type="dxa" w:w="1728"/>
          </w:tcPr>
          <w:p>
            <w:r>
              <w:rPr>
                <w:rFonts w:ascii="Calibri" w:hAnsi="Calibri"/>
                <w:sz w:val="22"/>
              </w:rPr>
              <w:t>4,602</w:t>
            </w:r>
          </w:p>
        </w:tc>
        <w:tc>
          <w:tcPr>
            <w:tcW w:type="dxa" w:w="1728"/>
          </w:tcPr>
          <w:p>
            <w:r>
              <w:rPr>
                <w:rFonts w:ascii="Calibri" w:hAnsi="Calibri"/>
                <w:sz w:val="22"/>
              </w:rPr>
              <w:t>4,595</w:t>
            </w:r>
          </w:p>
        </w:tc>
        <w:tc>
          <w:tcPr>
            <w:tcW w:type="dxa" w:w="1728"/>
          </w:tcPr>
          <w:p>
            <w:r>
              <w:rPr>
                <w:rFonts w:ascii="Calibri" w:hAnsi="Calibri"/>
                <w:sz w:val="22"/>
              </w:rPr>
              <w:t>+0.1%</w:t>
            </w:r>
          </w:p>
        </w:tc>
        <w:tc>
          <w:tcPr>
            <w:tcW w:type="dxa" w:w="1728"/>
          </w:tcPr>
          <w:p>
            <w:r>
              <w:rPr>
                <w:rFonts w:ascii="Calibri" w:hAnsi="Calibri"/>
                <w:b/>
                <w:color w:val="30A46C"/>
                <w:sz w:val="22"/>
              </w:rPr>
              <w:t>In-Line</w:t>
            </w:r>
          </w:p>
        </w:tc>
      </w:tr>
      <w:tr>
        <w:tc>
          <w:tcPr>
            <w:tcW w:type="dxa" w:w="1728"/>
          </w:tcPr>
          <w:p>
            <w:r>
              <w:rPr>
                <w:rFonts w:ascii="Calibri" w:hAnsi="Calibri"/>
                <w:sz w:val="22"/>
              </w:rPr>
              <w:t>Q1 2025</w:t>
            </w:r>
          </w:p>
        </w:tc>
        <w:tc>
          <w:tcPr>
            <w:tcW w:type="dxa" w:w="1728"/>
          </w:tcPr>
          <w:p>
            <w:r>
              <w:rPr>
                <w:rFonts w:ascii="Calibri" w:hAnsi="Calibri"/>
                <w:sz w:val="22"/>
              </w:rPr>
              <w:t>4,551</w:t>
            </w:r>
          </w:p>
        </w:tc>
        <w:tc>
          <w:tcPr>
            <w:tcW w:type="dxa" w:w="1728"/>
          </w:tcPr>
          <w:p>
            <w:r>
              <w:rPr>
                <w:rFonts w:ascii="Calibri" w:hAnsi="Calibri"/>
                <w:sz w:val="22"/>
              </w:rPr>
              <w:t>4,596</w:t>
            </w:r>
          </w:p>
        </w:tc>
        <w:tc>
          <w:tcPr>
            <w:tcW w:type="dxa" w:w="1728"/>
          </w:tcPr>
          <w:p>
            <w:r>
              <w:rPr>
                <w:rFonts w:ascii="Calibri" w:hAnsi="Calibri"/>
                <w:sz w:val="22"/>
              </w:rPr>
              <w:t>-1.0%</w:t>
            </w:r>
          </w:p>
        </w:tc>
        <w:tc>
          <w:tcPr>
            <w:tcW w:type="dxa" w:w="1728"/>
          </w:tcPr>
          <w:p>
            <w:r>
              <w:rPr>
                <w:rFonts w:ascii="Calibri" w:hAnsi="Calibri"/>
                <w:b/>
                <w:color w:val="E5484D"/>
                <w:sz w:val="22"/>
              </w:rPr>
              <w:t>Miss</w:t>
            </w:r>
          </w:p>
        </w:tc>
      </w:tr>
      <w:tr>
        <w:tc>
          <w:tcPr>
            <w:tcW w:type="dxa" w:w="1728"/>
          </w:tcPr>
          <w:p>
            <w:r>
              <w:rPr>
                <w:rFonts w:ascii="Calibri" w:hAnsi="Calibri"/>
                <w:sz w:val="22"/>
              </w:rPr>
              <w:t>Q2 2025</w:t>
            </w:r>
          </w:p>
        </w:tc>
        <w:tc>
          <w:tcPr>
            <w:tcW w:type="dxa" w:w="1728"/>
          </w:tcPr>
          <w:p>
            <w:r>
              <w:rPr>
                <w:rFonts w:ascii="Calibri" w:hAnsi="Calibri"/>
                <w:sz w:val="22"/>
              </w:rPr>
              <w:t>4,629</w:t>
            </w:r>
          </w:p>
        </w:tc>
        <w:tc>
          <w:tcPr>
            <w:tcW w:type="dxa" w:w="1728"/>
          </w:tcPr>
          <w:p>
            <w:r>
              <w:rPr>
                <w:rFonts w:ascii="Calibri" w:hAnsi="Calibri"/>
                <w:sz w:val="22"/>
              </w:rPr>
              <w:t>4,471</w:t>
            </w:r>
          </w:p>
        </w:tc>
        <w:tc>
          <w:tcPr>
            <w:tcW w:type="dxa" w:w="1728"/>
          </w:tcPr>
          <w:p>
            <w:r>
              <w:rPr>
                <w:rFonts w:ascii="Calibri" w:hAnsi="Calibri"/>
                <w:sz w:val="22"/>
              </w:rPr>
              <w:t>+3.5%</w:t>
            </w:r>
          </w:p>
        </w:tc>
        <w:tc>
          <w:tcPr>
            <w:tcW w:type="dxa" w:w="1728"/>
          </w:tcPr>
          <w:p>
            <w:r>
              <w:rPr>
                <w:rFonts w:ascii="Calibri" w:hAnsi="Calibri"/>
                <w:b/>
                <w:color w:val="30A46C"/>
                <w:sz w:val="22"/>
              </w:rPr>
              <w:t>Beat</w:t>
            </w:r>
          </w:p>
        </w:tc>
      </w:tr>
      <w:tr>
        <w:tc>
          <w:tcPr>
            <w:tcW w:type="dxa" w:w="1728"/>
          </w:tcPr>
          <w:p>
            <w:r>
              <w:rPr>
                <w:rFonts w:ascii="Calibri" w:hAnsi="Calibri"/>
                <w:sz w:val="22"/>
              </w:rPr>
              <w:t>Q3 2025</w:t>
            </w:r>
          </w:p>
        </w:tc>
        <w:tc>
          <w:tcPr>
            <w:tcW w:type="dxa" w:w="1728"/>
          </w:tcPr>
          <w:p>
            <w:r>
              <w:rPr>
                <w:rFonts w:ascii="Calibri" w:hAnsi="Calibri"/>
                <w:sz w:val="22"/>
              </w:rPr>
              <w:t>4,769</w:t>
            </w:r>
          </w:p>
        </w:tc>
        <w:tc>
          <w:tcPr>
            <w:tcW w:type="dxa" w:w="1728"/>
          </w:tcPr>
          <w:p>
            <w:r>
              <w:rPr>
                <w:rFonts w:ascii="Calibri" w:hAnsi="Calibri"/>
                <w:sz w:val="22"/>
              </w:rPr>
              <w:t>4,703</w:t>
            </w:r>
          </w:p>
        </w:tc>
        <w:tc>
          <w:tcPr>
            <w:tcW w:type="dxa" w:w="1728"/>
          </w:tcPr>
          <w:p>
            <w:r>
              <w:rPr>
                <w:rFonts w:ascii="Calibri" w:hAnsi="Calibri"/>
                <w:sz w:val="22"/>
              </w:rPr>
              <w:t>+1.4%</w:t>
            </w:r>
          </w:p>
        </w:tc>
        <w:tc>
          <w:tcPr>
            <w:tcW w:type="dxa" w:w="1728"/>
          </w:tcPr>
          <w:p>
            <w:r>
              <w:rPr>
                <w:rFonts w:ascii="Calibri" w:hAnsi="Calibri"/>
                <w:b/>
                <w:color w:val="30A46C"/>
                <w:sz w:val="22"/>
              </w:rPr>
              <w:t>Beat</w:t>
            </w:r>
          </w:p>
        </w:tc>
      </w:tr>
      <w:tr>
        <w:tc>
          <w:tcPr>
            <w:tcW w:type="dxa" w:w="1728"/>
          </w:tcPr>
          <w:p>
            <w:r>
              <w:rPr>
                <w:rFonts w:ascii="Calibri" w:hAnsi="Calibri"/>
                <w:sz w:val="22"/>
              </w:rPr>
              <w:t>Q4 2025</w:t>
            </w:r>
          </w:p>
        </w:tc>
        <w:tc>
          <w:tcPr>
            <w:tcW w:type="dxa" w:w="1728"/>
          </w:tcPr>
          <w:p>
            <w:r>
              <w:rPr>
                <w:rFonts w:ascii="Calibri" w:hAnsi="Calibri"/>
                <w:sz w:val="22"/>
              </w:rPr>
              <w:t>4,988</w:t>
            </w:r>
          </w:p>
        </w:tc>
        <w:tc>
          <w:tcPr>
            <w:tcW w:type="dxa" w:w="1728"/>
          </w:tcPr>
          <w:p>
            <w:r>
              <w:rPr>
                <w:rFonts w:ascii="Calibri" w:hAnsi="Calibri"/>
                <w:sz w:val="22"/>
              </w:rPr>
              <w:t>4,849</w:t>
            </w:r>
          </w:p>
        </w:tc>
        <w:tc>
          <w:tcPr>
            <w:tcW w:type="dxa" w:w="1728"/>
          </w:tcPr>
          <w:p>
            <w:r>
              <w:rPr>
                <w:rFonts w:ascii="Calibri" w:hAnsi="Calibri"/>
                <w:sz w:val="22"/>
              </w:rPr>
              <w:t>+2.9%</w:t>
            </w:r>
          </w:p>
        </w:tc>
        <w:tc>
          <w:tcPr>
            <w:tcW w:type="dxa" w:w="1728"/>
          </w:tcPr>
          <w:p>
            <w:r>
              <w:rPr>
                <w:rFonts w:ascii="Calibri" w:hAnsi="Calibri"/>
                <w:b/>
                <w:color w:val="30A46C"/>
                <w:sz w:val="22"/>
              </w:rPr>
              <w:t>Beat</w:t>
            </w:r>
          </w:p>
        </w:tc>
      </w:tr>
      <w:tr>
        <w:tc>
          <w:tcPr>
            <w:tcW w:type="dxa" w:w="1728"/>
          </w:tcPr>
          <w:p>
            <w:r>
              <w:rPr>
                <w:rFonts w:ascii="Calibri" w:hAnsi="Calibri"/>
                <w:sz w:val="22"/>
              </w:rPr>
              <w:t>Q1 2026</w:t>
            </w:r>
          </w:p>
        </w:tc>
        <w:tc>
          <w:tcPr>
            <w:tcW w:type="dxa" w:w="1728"/>
          </w:tcPr>
          <w:p>
            <w:r>
              <w:rPr>
                <w:rFonts w:ascii="Calibri" w:hAnsi="Calibri"/>
                <w:sz w:val="22"/>
              </w:rPr>
              <w:t>4,594</w:t>
            </w:r>
          </w:p>
        </w:tc>
        <w:tc>
          <w:tcPr>
            <w:tcW w:type="dxa" w:w="1728"/>
          </w:tcPr>
          <w:p>
            <w:r>
              <w:rPr>
                <w:rFonts w:ascii="Calibri" w:hAnsi="Calibri"/>
                <w:sz w:val="22"/>
              </w:rPr>
              <w:t>4,620</w:t>
            </w:r>
          </w:p>
        </w:tc>
        <w:tc>
          <w:tcPr>
            <w:tcW w:type="dxa" w:w="1728"/>
          </w:tcPr>
          <w:p>
            <w:r>
              <w:rPr>
                <w:rFonts w:ascii="Calibri" w:hAnsi="Calibri"/>
                <w:sz w:val="22"/>
              </w:rPr>
              <w:t>-0.6%</w:t>
            </w:r>
          </w:p>
        </w:tc>
        <w:tc>
          <w:tcPr>
            <w:tcW w:type="dxa" w:w="1728"/>
          </w:tcPr>
          <w:p>
            <w:r>
              <w:rPr>
                <w:rFonts w:ascii="Calibri" w:hAnsi="Calibri"/>
                <w:b/>
                <w:color w:val="E5484D"/>
                <w:sz w:val="22"/>
              </w:rPr>
              <w:t>Miss</w:t>
            </w:r>
          </w:p>
        </w:tc>
      </w:tr>
    </w:tbl>
    <w:p>
      <w:r>
        <w:rPr>
          <w:rFonts w:ascii="Calibri" w:hAnsi="Calibri"/>
          <w:i/>
          <w:color w:val="525866"/>
          <w:sz w:val="22"/>
        </w:rPr>
        <w:t>Note: Production volumes have beaten consensus in 6 of the last 8 quarters. The two misses (Q1 2025 and Q1 2026) were both driven by external disruptions (Middle East conflict, Kazakhstan drone attacks, winter storm Fern). Q2 2026 consensus of 4,254 Mboe/d is set well below Q1 2026 actual of 4,594, reflecting continued Middle East disruption assumptions — any normalization could drive a beat.</w:t>
      </w:r>
    </w:p>
    <w:p>
      <w:r>
        <w:br w:type="page"/>
      </w:r>
    </w:p>
    <w:p>
      <w:pPr>
        <w:pStyle w:val="Heading2"/>
      </w:pPr>
      <w:r>
        <w:rPr>
          <w:rFonts w:ascii="Calibri" w:hAnsi="Calibri"/>
          <w:b/>
          <w:color w:val="3B4259"/>
          <w:sz w:val="28"/>
        </w:rPr>
        <w:t>3. Guidance &amp; Commentary Evolution</w:t>
      </w:r>
    </w:p>
    <w:p>
      <w:r>
        <w:rPr>
          <w:rFonts w:ascii="Calibri" w:hAnsi="Calibri"/>
          <w:b/>
          <w:color w:val="525866"/>
          <w:sz w:val="22"/>
        </w:rPr>
        <w:t xml:space="preserve">Key Takeaway: </w:t>
      </w:r>
      <w:r>
        <w:rPr>
          <w:rFonts w:ascii="Calibri" w:hAnsi="Calibri"/>
          <w:color w:val="525866"/>
          <w:sz w:val="22"/>
        </w:rPr>
        <w:t>Management’s tone on the Q1 2026 call was notably constructive heading into Q2 — explicitly flagging that refining performance would “play out very well” in Q2 and that timing effects “will work themselves out.” No formal guidance revisions have been issued since the Q1 call, but the macro environment has materially improved (Brent +$23/bbl QoQ), making the implicit guidance conservative.</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shd w:val="clear" w:color="auto" w:fill="3B4259"/>
          </w:tcPr>
          <w:p>
            <w:r>
              <w:rPr>
                <w:rFonts w:ascii="Calibri" w:hAnsi="Calibri"/>
                <w:b/>
                <w:color w:val="FFFFFF"/>
                <w:sz w:val="22"/>
              </w:rPr>
              <w:t>Metric</w:t>
            </w:r>
          </w:p>
        </w:tc>
        <w:tc>
          <w:tcPr>
            <w:tcW w:type="dxa" w:w="1728"/>
            <w:shd w:val="clear" w:color="auto" w:fill="3B4259"/>
          </w:tcPr>
          <w:p>
            <w:r>
              <w:rPr>
                <w:rFonts w:ascii="Calibri" w:hAnsi="Calibri"/>
                <w:b/>
                <w:color w:val="FFFFFF"/>
                <w:sz w:val="22"/>
              </w:rPr>
              <w:t>Initial Guidance (Q1 2026 Earnings Call, May 1)</w:t>
            </w:r>
          </w:p>
        </w:tc>
        <w:tc>
          <w:tcPr>
            <w:tcW w:type="dxa" w:w="1728"/>
            <w:shd w:val="clear" w:color="auto" w:fill="3B4259"/>
          </w:tcPr>
          <w:p>
            <w:r>
              <w:rPr>
                <w:rFonts w:ascii="Calibri" w:hAnsi="Calibri"/>
                <w:b/>
                <w:color w:val="FFFFFF"/>
                <w:sz w:val="22"/>
              </w:rPr>
              <w:t>Revised Guidance</w:t>
            </w:r>
          </w:p>
        </w:tc>
        <w:tc>
          <w:tcPr>
            <w:tcW w:type="dxa" w:w="1728"/>
            <w:shd w:val="clear" w:color="auto" w:fill="3B4259"/>
          </w:tcPr>
          <w:p>
            <w:r>
              <w:rPr>
                <w:rFonts w:ascii="Calibri" w:hAnsi="Calibri"/>
                <w:b/>
                <w:color w:val="FFFFFF"/>
                <w:sz w:val="22"/>
              </w:rPr>
              <w:t>Current Consensus</w:t>
            </w:r>
          </w:p>
        </w:tc>
        <w:tc>
          <w:tcPr>
            <w:tcW w:type="dxa" w:w="1728"/>
            <w:shd w:val="clear" w:color="auto" w:fill="3B4259"/>
          </w:tcPr>
          <w:p>
            <w:r>
              <w:rPr>
                <w:rFonts w:ascii="Calibri" w:hAnsi="Calibri"/>
                <w:b/>
                <w:color w:val="FFFFFF"/>
                <w:sz w:val="22"/>
              </w:rPr>
              <w:t>Note</w:t>
            </w:r>
          </w:p>
        </w:tc>
      </w:tr>
      <w:tr>
        <w:tc>
          <w:tcPr>
            <w:tcW w:type="dxa" w:w="1728"/>
          </w:tcPr>
          <w:p>
            <w:r>
              <w:rPr>
                <w:rFonts w:ascii="Calibri" w:hAnsi="Calibri"/>
                <w:sz w:val="22"/>
              </w:rPr>
              <w:t>Permian Production (FY 2026)</w:t>
            </w:r>
          </w:p>
        </w:tc>
        <w:tc>
          <w:tcPr>
            <w:tcW w:type="dxa" w:w="1728"/>
          </w:tcPr>
          <w:p>
            <w:r>
              <w:rPr>
                <w:rFonts w:ascii="Calibri" w:hAnsi="Calibri"/>
                <w:sz w:val="22"/>
              </w:rPr>
              <w:t>1.8M boe/d full-year target; “running pretty full speed”</w:t>
            </w:r>
          </w:p>
        </w:tc>
        <w:tc>
          <w:tcPr>
            <w:tcW w:type="dxa" w:w="1728"/>
          </w:tcPr>
          <w:p>
            <w:r>
              <w:rPr>
                <w:rFonts w:ascii="Calibri" w:hAnsi="Calibri"/>
                <w:sz w:val="22"/>
              </w:rPr>
              <w:t>—</w:t>
            </w:r>
          </w:p>
        </w:tc>
        <w:tc>
          <w:tcPr>
            <w:tcW w:type="dxa" w:w="1728"/>
          </w:tcPr>
          <w:p>
            <w:r>
              <w:rPr>
                <w:rFonts w:ascii="Calibri" w:hAnsi="Calibri"/>
                <w:sz w:val="22"/>
              </w:rPr>
              <w:t>~1,344 Mbpd Q2 cons.; ~1,371 Mbpd FY cons.</w:t>
            </w:r>
          </w:p>
        </w:tc>
        <w:tc>
          <w:tcPr>
            <w:tcW w:type="dxa" w:w="1728"/>
          </w:tcPr>
          <w:p>
            <w:r>
              <w:rPr>
                <w:rFonts w:ascii="Calibri" w:hAnsi="Calibri"/>
                <w:sz w:val="22"/>
              </w:rPr>
              <w:t>Unchanged; management reiterated no near-term peak</w:t>
            </w:r>
          </w:p>
        </w:tc>
      </w:tr>
      <w:tr>
        <w:tc>
          <w:tcPr>
            <w:tcW w:type="dxa" w:w="1728"/>
          </w:tcPr>
          <w:p>
            <w:r>
              <w:rPr>
                <w:rFonts w:ascii="Calibri" w:hAnsi="Calibri"/>
                <w:sz w:val="22"/>
              </w:rPr>
              <w:t>Refining / Energy Products</w:t>
            </w:r>
          </w:p>
        </w:tc>
        <w:tc>
          <w:tcPr>
            <w:tcW w:type="dxa" w:w="1728"/>
          </w:tcPr>
          <w:p>
            <w:r>
              <w:rPr>
                <w:rFonts w:ascii="Calibri" w:hAnsi="Calibri"/>
                <w:sz w:val="22"/>
              </w:rPr>
              <w:t>“Play out very well as we move through April and into Q2”; Gulf Coast refineries at record utilization</w:t>
            </w:r>
          </w:p>
        </w:tc>
        <w:tc>
          <w:tcPr>
            <w:tcW w:type="dxa" w:w="1728"/>
          </w:tcPr>
          <w:p>
            <w:r>
              <w:rPr>
                <w:rFonts w:ascii="Calibri" w:hAnsi="Calibri"/>
                <w:sz w:val="22"/>
              </w:rPr>
              <w:t>—</w:t>
            </w:r>
          </w:p>
        </w:tc>
        <w:tc>
          <w:tcPr>
            <w:tcW w:type="dxa" w:w="1728"/>
          </w:tcPr>
          <w:p>
            <w:r>
              <w:rPr>
                <w:rFonts w:ascii="Calibri" w:hAnsi="Calibri"/>
                <w:sz w:val="22"/>
              </w:rPr>
              <w:t>$28.13/bbl refining margin consensus for Q2</w:t>
            </w:r>
          </w:p>
        </w:tc>
        <w:tc>
          <w:tcPr>
            <w:tcW w:type="dxa" w:w="1728"/>
          </w:tcPr>
          <w:p>
            <w:r>
              <w:rPr>
                <w:rFonts w:ascii="Calibri" w:hAnsi="Calibri"/>
                <w:sz w:val="22"/>
              </w:rPr>
              <w:t>Constructive tone; peer prints (VLO, SHEL) confirm extraordinary Q2 margins</w:t>
            </w:r>
          </w:p>
        </w:tc>
      </w:tr>
      <w:tr>
        <w:tc>
          <w:tcPr>
            <w:tcW w:type="dxa" w:w="1728"/>
          </w:tcPr>
          <w:p>
            <w:r>
              <w:rPr>
                <w:rFonts w:ascii="Calibri" w:hAnsi="Calibri"/>
                <w:sz w:val="22"/>
              </w:rPr>
              <w:t>Timing Effects</w:t>
            </w:r>
          </w:p>
        </w:tc>
        <w:tc>
          <w:tcPr>
            <w:tcW w:type="dxa" w:w="1728"/>
          </w:tcPr>
          <w:p>
            <w:r>
              <w:rPr>
                <w:rFonts w:ascii="Calibri" w:hAnsi="Calibri"/>
                <w:sz w:val="22"/>
              </w:rPr>
              <w:t>“Just timing and that will work itself out”; ~$4–5B Q1 headwind expected to reverse</w:t>
            </w:r>
          </w:p>
        </w:tc>
        <w:tc>
          <w:tcPr>
            <w:tcW w:type="dxa" w:w="1728"/>
          </w:tcPr>
          <w:p>
            <w:r>
              <w:rPr>
                <w:rFonts w:ascii="Calibri" w:hAnsi="Calibri"/>
                <w:sz w:val="22"/>
              </w:rPr>
              <w:t>—</w:t>
            </w:r>
          </w:p>
        </w:tc>
        <w:tc>
          <w:tcPr>
            <w:tcW w:type="dxa" w:w="1728"/>
          </w:tcPr>
          <w:p>
            <w:r>
              <w:rPr>
                <w:rFonts w:ascii="Calibri" w:hAnsi="Calibri"/>
                <w:sz w:val="22"/>
              </w:rPr>
              <w:t>Embedded in consensus EPS of $3.54</w:t>
            </w:r>
          </w:p>
        </w:tc>
        <w:tc>
          <w:tcPr>
            <w:tcW w:type="dxa" w:w="1728"/>
          </w:tcPr>
          <w:p>
            <w:r>
              <w:rPr>
                <w:rFonts w:ascii="Calibri" w:hAnsi="Calibri"/>
                <w:sz w:val="22"/>
              </w:rPr>
              <w:t>Key Q2 earnings driver; magnitude of reversal is the primary uncertainty</w:t>
            </w:r>
          </w:p>
        </w:tc>
      </w:tr>
      <w:tr>
        <w:tc>
          <w:tcPr>
            <w:tcW w:type="dxa" w:w="1728"/>
          </w:tcPr>
          <w:p>
            <w:r>
              <w:rPr>
                <w:rFonts w:ascii="Calibri" w:hAnsi="Calibri"/>
                <w:sz w:val="22"/>
              </w:rPr>
              <w:t>Guyana Production</w:t>
            </w:r>
          </w:p>
        </w:tc>
        <w:tc>
          <w:tcPr>
            <w:tcW w:type="dxa" w:w="1728"/>
          </w:tcPr>
          <w:p>
            <w:r>
              <w:rPr>
                <w:rFonts w:ascii="Calibri" w:hAnsi="Calibri"/>
                <w:sz w:val="22"/>
              </w:rPr>
              <w:t>Record Q1 production (~900K+ gross bbl/d); Uaru FPSO first oil expected “late this year”</w:t>
            </w:r>
          </w:p>
        </w:tc>
        <w:tc>
          <w:tcPr>
            <w:tcW w:type="dxa" w:w="1728"/>
          </w:tcPr>
          <w:p>
            <w:r>
              <w:rPr>
                <w:rFonts w:ascii="Calibri" w:hAnsi="Calibri"/>
                <w:sz w:val="22"/>
              </w:rPr>
              <w:t>—</w:t>
            </w:r>
          </w:p>
        </w:tc>
        <w:tc>
          <w:tcPr>
            <w:tcW w:type="dxa" w:w="1728"/>
          </w:tcPr>
          <w:p>
            <w:r>
              <w:rPr>
                <w:rFonts w:ascii="Calibri" w:hAnsi="Calibri"/>
                <w:sz w:val="22"/>
              </w:rPr>
              <w:t>N/A (not separately tracked in VA consensus)</w:t>
            </w:r>
          </w:p>
        </w:tc>
        <w:tc>
          <w:tcPr>
            <w:tcW w:type="dxa" w:w="1728"/>
          </w:tcPr>
          <w:p>
            <w:r>
              <w:rPr>
                <w:rFonts w:ascii="Calibri" w:hAnsi="Calibri"/>
                <w:sz w:val="22"/>
              </w:rPr>
              <w:t>Uaru on track; Whiptail and Hammerhead under construction</w:t>
            </w:r>
          </w:p>
        </w:tc>
      </w:tr>
      <w:tr>
        <w:tc>
          <w:tcPr>
            <w:tcW w:type="dxa" w:w="1728"/>
          </w:tcPr>
          <w:p>
            <w:r>
              <w:rPr>
                <w:rFonts w:ascii="Calibri" w:hAnsi="Calibri"/>
                <w:sz w:val="22"/>
              </w:rPr>
              <w:t>Golden Pass LNG</w:t>
            </w:r>
          </w:p>
        </w:tc>
        <w:tc>
          <w:tcPr>
            <w:tcW w:type="dxa" w:w="1728"/>
          </w:tcPr>
          <w:p>
            <w:r>
              <w:rPr>
                <w:rFonts w:ascii="Calibri" w:hAnsi="Calibri"/>
                <w:sz w:val="22"/>
              </w:rPr>
              <w:t>Train 1 first LNG achieved March 2026; Train 2 mechanically complete by end of 2026; Train 3 Q2 2027</w:t>
            </w:r>
          </w:p>
        </w:tc>
        <w:tc>
          <w:tcPr>
            <w:tcW w:type="dxa" w:w="1728"/>
          </w:tcPr>
          <w:p>
            <w:r>
              <w:rPr>
                <w:rFonts w:ascii="Calibri" w:hAnsi="Calibri"/>
                <w:sz w:val="22"/>
              </w:rPr>
              <w:t>—</w:t>
            </w:r>
          </w:p>
        </w:tc>
        <w:tc>
          <w:tcPr>
            <w:tcW w:type="dxa" w:w="1728"/>
          </w:tcPr>
          <w:p>
            <w:r>
              <w:rPr>
                <w:rFonts w:ascii="Calibri" w:hAnsi="Calibri"/>
                <w:sz w:val="22"/>
              </w:rPr>
              <w:t>N/A</w:t>
            </w:r>
          </w:p>
        </w:tc>
        <w:tc>
          <w:tcPr>
            <w:tcW w:type="dxa" w:w="1728"/>
          </w:tcPr>
          <w:p>
            <w:r>
              <w:rPr>
                <w:rFonts w:ascii="Calibri" w:hAnsi="Calibri"/>
                <w:sz w:val="22"/>
              </w:rPr>
              <w:t>On track; adds ~5% to U.S. LNG exports; incremental Q2 contribution from Train 1</w:t>
            </w:r>
          </w:p>
        </w:tc>
      </w:tr>
      <w:tr>
        <w:tc>
          <w:tcPr>
            <w:tcW w:type="dxa" w:w="1728"/>
          </w:tcPr>
          <w:p>
            <w:r>
              <w:rPr>
                <w:rFonts w:ascii="Calibri" w:hAnsi="Calibri"/>
                <w:sz w:val="22"/>
              </w:rPr>
              <w:t>Qatar LNG (Damaged Trains)</w:t>
            </w:r>
          </w:p>
        </w:tc>
        <w:tc>
          <w:tcPr>
            <w:tcW w:type="dxa" w:w="1728"/>
          </w:tcPr>
          <w:p>
            <w:r>
              <w:rPr>
                <w:rFonts w:ascii="Calibri" w:hAnsi="Calibri"/>
                <w:sz w:val="22"/>
              </w:rPr>
              <w:t>~3% of global production offline; 3–5 year repair timeline; cold box is critical path</w:t>
            </w:r>
          </w:p>
        </w:tc>
        <w:tc>
          <w:tcPr>
            <w:tcW w:type="dxa" w:w="1728"/>
          </w:tcPr>
          <w:p>
            <w:r>
              <w:rPr>
                <w:rFonts w:ascii="Calibri" w:hAnsi="Calibri"/>
                <w:sz w:val="22"/>
              </w:rPr>
              <w:t>—</w:t>
            </w:r>
          </w:p>
        </w:tc>
        <w:tc>
          <w:tcPr>
            <w:tcW w:type="dxa" w:w="1728"/>
          </w:tcPr>
          <w:p>
            <w:r>
              <w:rPr>
                <w:rFonts w:ascii="Calibri" w:hAnsi="Calibri"/>
                <w:sz w:val="22"/>
              </w:rPr>
              <w:t>N/A</w:t>
            </w:r>
          </w:p>
        </w:tc>
        <w:tc>
          <w:tcPr>
            <w:tcW w:type="dxa" w:w="1728"/>
          </w:tcPr>
          <w:p>
            <w:r>
              <w:rPr>
                <w:rFonts w:ascii="Calibri" w:hAnsi="Calibri"/>
                <w:sz w:val="22"/>
              </w:rPr>
              <w:t>Ongoing headwind; management working with QatarEnergy on repair options</w:t>
            </w:r>
          </w:p>
        </w:tc>
      </w:tr>
      <w:tr>
        <w:tc>
          <w:tcPr>
            <w:tcW w:type="dxa" w:w="1728"/>
          </w:tcPr>
          <w:p>
            <w:r>
              <w:rPr>
                <w:rFonts w:ascii="Calibri" w:hAnsi="Calibri"/>
                <w:sz w:val="22"/>
              </w:rPr>
              <w:t>FY 2026 Capex</w:t>
            </w:r>
          </w:p>
        </w:tc>
        <w:tc>
          <w:tcPr>
            <w:tcW w:type="dxa" w:w="1728"/>
          </w:tcPr>
          <w:p>
            <w:r>
              <w:rPr>
                <w:rFonts w:ascii="Calibri" w:hAnsi="Calibri"/>
                <w:sz w:val="22"/>
              </w:rPr>
              <w:t>No change to FY guidance communicated on Q1 call</w:t>
            </w:r>
          </w:p>
        </w:tc>
        <w:tc>
          <w:tcPr>
            <w:tcW w:type="dxa" w:w="1728"/>
          </w:tcPr>
          <w:p>
            <w:r>
              <w:rPr>
                <w:rFonts w:ascii="Calibri" w:hAnsi="Calibri"/>
                <w:sz w:val="22"/>
              </w:rPr>
              <w:t>—</w:t>
            </w:r>
          </w:p>
        </w:tc>
        <w:tc>
          <w:tcPr>
            <w:tcW w:type="dxa" w:w="1728"/>
          </w:tcPr>
          <w:p>
            <w:r>
              <w:rPr>
                <w:rFonts w:ascii="Calibri" w:hAnsi="Calibri"/>
                <w:sz w:val="22"/>
              </w:rPr>
              <w:t>~$28.2B FY 2026 consensus</w:t>
            </w:r>
          </w:p>
        </w:tc>
        <w:tc>
          <w:tcPr>
            <w:tcW w:type="dxa" w:w="1728"/>
          </w:tcPr>
          <w:p>
            <w:r>
              <w:rPr>
                <w:rFonts w:ascii="Calibri" w:hAnsi="Calibri"/>
                <w:sz w:val="22"/>
              </w:rPr>
              <w:t>Unchanged; disciplined capital allocation maintained</w:t>
            </w:r>
          </w:p>
        </w:tc>
      </w:tr>
      <w:tr>
        <w:tc>
          <w:tcPr>
            <w:tcW w:type="dxa" w:w="1728"/>
          </w:tcPr>
          <w:p>
            <w:r>
              <w:rPr>
                <w:rFonts w:ascii="Calibri" w:hAnsi="Calibri"/>
                <w:sz w:val="22"/>
              </w:rPr>
              <w:t>Mozambique &amp; PNG LNG FIDs</w:t>
            </w:r>
          </w:p>
        </w:tc>
        <w:tc>
          <w:tcPr>
            <w:tcW w:type="dxa" w:w="1728"/>
          </w:tcPr>
          <w:p>
            <w:r>
              <w:rPr>
                <w:rFonts w:ascii="Calibri" w:hAnsi="Calibri"/>
                <w:sz w:val="22"/>
              </w:rPr>
              <w:t>Both FIDs targeted for 2026; online in the 2030s</w:t>
            </w:r>
          </w:p>
        </w:tc>
        <w:tc>
          <w:tcPr>
            <w:tcW w:type="dxa" w:w="1728"/>
          </w:tcPr>
          <w:p>
            <w:r>
              <w:rPr>
                <w:rFonts w:ascii="Calibri" w:hAnsi="Calibri"/>
                <w:sz w:val="22"/>
              </w:rPr>
              <w:t>—</w:t>
            </w:r>
          </w:p>
        </w:tc>
        <w:tc>
          <w:tcPr>
            <w:tcW w:type="dxa" w:w="1728"/>
          </w:tcPr>
          <w:p>
            <w:r>
              <w:rPr>
                <w:rFonts w:ascii="Calibri" w:hAnsi="Calibri"/>
                <w:sz w:val="22"/>
              </w:rPr>
              <w:t>N/A</w:t>
            </w:r>
          </w:p>
        </w:tc>
        <w:tc>
          <w:tcPr>
            <w:tcW w:type="dxa" w:w="1728"/>
          </w:tcPr>
          <w:p>
            <w:r>
              <w:rPr>
                <w:rFonts w:ascii="Calibri" w:hAnsi="Calibri"/>
                <w:sz w:val="22"/>
              </w:rPr>
              <w:t>Potential Q2/Q3 catalyst if FID announced</w:t>
            </w:r>
          </w:p>
        </w:tc>
      </w:tr>
    </w:tbl>
    <w:p>
      <w:r>
        <w:br w:type="page"/>
      </w:r>
    </w:p>
    <w:p>
      <w:pPr>
        <w:pStyle w:val="Heading2"/>
      </w:pPr>
      <w:r>
        <w:rPr>
          <w:rFonts w:ascii="Calibri" w:hAnsi="Calibri"/>
          <w:b/>
          <w:color w:val="3B4259"/>
          <w:sz w:val="28"/>
        </w:rPr>
        <w:t>4. Guidance vs. Estimate Revision Tracker</w:t>
      </w:r>
    </w:p>
    <w:p>
      <w:r>
        <w:rPr>
          <w:rFonts w:ascii="Calibri" w:hAnsi="Calibri"/>
          <w:b/>
          <w:color w:val="525866"/>
          <w:sz w:val="22"/>
        </w:rPr>
        <w:t xml:space="preserve">Key Takeaway: </w:t>
      </w:r>
      <w:r>
        <w:rPr>
          <w:rFonts w:ascii="Calibri" w:hAnsi="Calibri"/>
          <w:color w:val="525866"/>
          <w:sz w:val="22"/>
        </w:rPr>
        <w:t>Q2 2026 EPS estimates have been essentially flat since the Q1 print ($3.57 → $3.54, -0.8%), suggesting the street has not aggressively revised up despite the extraordinary commodity tailwind. FY 2026 EPS estimates are up modestly (+1.9%), tracking the higher oil price environment. The gap between the conservative consensus and the macro reality (Brent $104/bbl, record refining margins) represents potential upside cushion heading into the print.</w:t>
      </w:r>
    </w:p>
    <w:tbl>
      <w:tblPr>
        <w:tblStyle w:val="TableGrid"/>
        <w:tblW w:type="auto" w:w="0"/>
        <w:tblLook w:firstColumn="1" w:firstRow="1" w:lastColumn="0" w:lastRow="0" w:noHBand="0" w:noVBand="1" w:val="04A0"/>
      </w:tblPr>
      <w:tblGrid>
        <w:gridCol w:w="1080"/>
        <w:gridCol w:w="1080"/>
        <w:gridCol w:w="1080"/>
        <w:gridCol w:w="1080"/>
        <w:gridCol w:w="1080"/>
        <w:gridCol w:w="1080"/>
        <w:gridCol w:w="1080"/>
        <w:gridCol w:w="1080"/>
      </w:tblGrid>
      <w:tr>
        <w:tc>
          <w:tcPr>
            <w:tcW w:type="dxa" w:w="1080"/>
            <w:shd w:val="clear" w:color="auto" w:fill="3B4259"/>
          </w:tcPr>
          <w:p>
            <w:r>
              <w:rPr>
                <w:rFonts w:ascii="Calibri" w:hAnsi="Calibri"/>
                <w:b/>
                <w:color w:val="FFFFFF"/>
                <w:sz w:val="22"/>
              </w:rPr>
              <w:t>KPI (Period)</w:t>
            </w:r>
          </w:p>
        </w:tc>
        <w:tc>
          <w:tcPr>
            <w:tcW w:type="dxa" w:w="1080"/>
            <w:shd w:val="clear" w:color="auto" w:fill="3B4259"/>
          </w:tcPr>
          <w:p>
            <w:r>
              <w:rPr>
                <w:rFonts w:ascii="Calibri" w:hAnsi="Calibri"/>
                <w:b/>
                <w:color w:val="FFFFFF"/>
                <w:sz w:val="22"/>
              </w:rPr>
              <w:t>Estimate at May 6, 2026 (Post-Q1 Baseline)</w:t>
            </w:r>
          </w:p>
        </w:tc>
        <w:tc>
          <w:tcPr>
            <w:tcW w:type="dxa" w:w="1080"/>
            <w:shd w:val="clear" w:color="auto" w:fill="3B4259"/>
          </w:tcPr>
          <w:p>
            <w:r>
              <w:rPr>
                <w:rFonts w:ascii="Calibri" w:hAnsi="Calibri"/>
                <w:b/>
                <w:color w:val="FFFFFF"/>
                <w:sz w:val="22"/>
              </w:rPr>
              <w:t>Current Consensus (Jul 30, 2026)</w:t>
            </w:r>
          </w:p>
        </w:tc>
        <w:tc>
          <w:tcPr>
            <w:tcW w:type="dxa" w:w="1080"/>
            <w:shd w:val="clear" w:color="auto" w:fill="3B4259"/>
          </w:tcPr>
          <w:p>
            <w:r>
              <w:rPr>
                <w:rFonts w:ascii="Calibri" w:hAnsi="Calibri"/>
                <w:b/>
                <w:color w:val="FFFFFF"/>
                <w:sz w:val="22"/>
              </w:rPr>
              <w:t>Estimate Δ (%)</w:t>
            </w:r>
          </w:p>
        </w:tc>
        <w:tc>
          <w:tcPr>
            <w:tcW w:type="dxa" w:w="1080"/>
            <w:shd w:val="clear" w:color="auto" w:fill="3B4259"/>
          </w:tcPr>
          <w:p>
            <w:r>
              <w:rPr>
                <w:rFonts w:ascii="Calibri" w:hAnsi="Calibri"/>
                <w:b/>
                <w:color w:val="FFFFFF"/>
                <w:sz w:val="22"/>
              </w:rPr>
              <w:t>Initial Guidance (Q1 Call)</w:t>
            </w:r>
          </w:p>
        </w:tc>
        <w:tc>
          <w:tcPr>
            <w:tcW w:type="dxa" w:w="1080"/>
            <w:shd w:val="clear" w:color="auto" w:fill="3B4259"/>
          </w:tcPr>
          <w:p>
            <w:r>
              <w:rPr>
                <w:rFonts w:ascii="Calibri" w:hAnsi="Calibri"/>
                <w:b/>
                <w:color w:val="FFFFFF"/>
                <w:sz w:val="22"/>
              </w:rPr>
              <w:t>Current Guidance</w:t>
            </w:r>
          </w:p>
        </w:tc>
        <w:tc>
          <w:tcPr>
            <w:tcW w:type="dxa" w:w="1080"/>
            <w:shd w:val="clear" w:color="auto" w:fill="3B4259"/>
          </w:tcPr>
          <w:p>
            <w:r>
              <w:rPr>
                <w:rFonts w:ascii="Calibri" w:hAnsi="Calibri"/>
                <w:b/>
                <w:color w:val="FFFFFF"/>
                <w:sz w:val="22"/>
              </w:rPr>
              <w:t>Guidance Δ</w:t>
            </w:r>
          </w:p>
        </w:tc>
        <w:tc>
          <w:tcPr>
            <w:tcW w:type="dxa" w:w="1080"/>
            <w:shd w:val="clear" w:color="auto" w:fill="3B4259"/>
          </w:tcPr>
          <w:p>
            <w:r>
              <w:rPr>
                <w:rFonts w:ascii="Calibri" w:hAnsi="Calibri"/>
                <w:b/>
                <w:color w:val="FFFFFF"/>
                <w:sz w:val="22"/>
              </w:rPr>
              <w:t>Cons. vs. Guidance (%)</w:t>
            </w:r>
          </w:p>
        </w:tc>
      </w:tr>
      <w:tr>
        <w:tc>
          <w:tcPr>
            <w:tcW w:type="dxa" w:w="1080"/>
          </w:tcPr>
          <w:p>
            <w:r>
              <w:rPr>
                <w:rFonts w:ascii="Calibri" w:hAnsi="Calibri"/>
                <w:sz w:val="22"/>
              </w:rPr>
              <w:t>EPS — Diluted Operating (Q2 2026)</w:t>
            </w:r>
          </w:p>
        </w:tc>
        <w:tc>
          <w:tcPr>
            <w:tcW w:type="dxa" w:w="1080"/>
          </w:tcPr>
          <w:p>
            <w:r>
              <w:rPr>
                <w:rFonts w:ascii="Calibri" w:hAnsi="Calibri"/>
                <w:sz w:val="22"/>
              </w:rPr>
              <w:t>$3.57</w:t>
            </w:r>
          </w:p>
        </w:tc>
        <w:tc>
          <w:tcPr>
            <w:tcW w:type="dxa" w:w="1080"/>
          </w:tcPr>
          <w:p>
            <w:r>
              <w:rPr>
                <w:rFonts w:ascii="Calibri" w:hAnsi="Calibri"/>
                <w:sz w:val="22"/>
              </w:rPr>
              <w:t>$3.54</w:t>
            </w:r>
          </w:p>
        </w:tc>
        <w:tc>
          <w:tcPr>
            <w:tcW w:type="dxa" w:w="1080"/>
          </w:tcPr>
          <w:p>
            <w:r>
              <w:rPr>
                <w:rFonts w:ascii="Calibri" w:hAnsi="Calibri"/>
                <w:sz w:val="22"/>
              </w:rPr>
              <w:t>-0.8%</w:t>
            </w:r>
          </w:p>
        </w:tc>
        <w:tc>
          <w:tcPr>
            <w:tcW w:type="dxa" w:w="1080"/>
          </w:tcPr>
          <w:p>
            <w:r>
              <w:rPr>
                <w:rFonts w:ascii="Calibri" w:hAnsi="Calibri"/>
                <w:sz w:val="22"/>
              </w:rPr>
              <w:t>No explicit Q2 guidance</w:t>
            </w:r>
          </w:p>
        </w:tc>
        <w:tc>
          <w:tcPr>
            <w:tcW w:type="dxa" w:w="1080"/>
          </w:tcPr>
          <w:p>
            <w:r>
              <w:rPr>
                <w:rFonts w:ascii="Calibri" w:hAnsi="Calibri"/>
                <w:sz w:val="22"/>
              </w:rPr>
              <w:t>No explicit Q2 guidance</w:t>
            </w:r>
          </w:p>
        </w:tc>
        <w:tc>
          <w:tcPr>
            <w:tcW w:type="dxa" w:w="1080"/>
          </w:tcPr>
          <w:p>
            <w:r>
              <w:rPr>
                <w:rFonts w:ascii="Calibri" w:hAnsi="Calibri"/>
                <w:sz w:val="22"/>
              </w:rPr>
              <w:t>N/A</w:t>
            </w:r>
          </w:p>
        </w:tc>
        <w:tc>
          <w:tcPr>
            <w:tcW w:type="dxa" w:w="1080"/>
          </w:tcPr>
          <w:p>
            <w:r>
              <w:rPr>
                <w:rFonts w:ascii="Calibri" w:hAnsi="Calibri"/>
                <w:sz w:val="22"/>
              </w:rPr>
              <w:t>N/A</w:t>
            </w:r>
          </w:p>
        </w:tc>
      </w:tr>
      <w:tr>
        <w:tc>
          <w:tcPr>
            <w:tcW w:type="dxa" w:w="1080"/>
          </w:tcPr>
          <w:p>
            <w:r>
              <w:rPr>
                <w:rFonts w:ascii="Calibri" w:hAnsi="Calibri"/>
                <w:sz w:val="22"/>
              </w:rPr>
              <w:t>EPS — Diluted Operating (FY 2026)</w:t>
            </w:r>
          </w:p>
        </w:tc>
        <w:tc>
          <w:tcPr>
            <w:tcW w:type="dxa" w:w="1080"/>
          </w:tcPr>
          <w:p>
            <w:r>
              <w:rPr>
                <w:rFonts w:ascii="Calibri" w:hAnsi="Calibri"/>
                <w:sz w:val="22"/>
              </w:rPr>
              <w:t>$10.74</w:t>
            </w:r>
          </w:p>
        </w:tc>
        <w:tc>
          <w:tcPr>
            <w:tcW w:type="dxa" w:w="1080"/>
          </w:tcPr>
          <w:p>
            <w:r>
              <w:rPr>
                <w:rFonts w:ascii="Calibri" w:hAnsi="Calibri"/>
                <w:sz w:val="22"/>
              </w:rPr>
              <w:t>$10.95</w:t>
            </w:r>
          </w:p>
        </w:tc>
        <w:tc>
          <w:tcPr>
            <w:tcW w:type="dxa" w:w="1080"/>
          </w:tcPr>
          <w:p>
            <w:r>
              <w:rPr>
                <w:rFonts w:ascii="Calibri" w:hAnsi="Calibri"/>
                <w:sz w:val="22"/>
              </w:rPr>
              <w:t>+1.9%</w:t>
            </w:r>
          </w:p>
        </w:tc>
        <w:tc>
          <w:tcPr>
            <w:tcW w:type="dxa" w:w="1080"/>
          </w:tcPr>
          <w:p>
            <w:r>
              <w:rPr>
                <w:rFonts w:ascii="Calibri" w:hAnsi="Calibri"/>
                <w:sz w:val="22"/>
              </w:rPr>
              <w:t>No explicit FY EPS guidance</w:t>
            </w:r>
          </w:p>
        </w:tc>
        <w:tc>
          <w:tcPr>
            <w:tcW w:type="dxa" w:w="1080"/>
          </w:tcPr>
          <w:p>
            <w:r>
              <w:rPr>
                <w:rFonts w:ascii="Calibri" w:hAnsi="Calibri"/>
                <w:sz w:val="22"/>
              </w:rPr>
              <w:t>No explicit FY EPS guidance</w:t>
            </w:r>
          </w:p>
        </w:tc>
        <w:tc>
          <w:tcPr>
            <w:tcW w:type="dxa" w:w="1080"/>
          </w:tcPr>
          <w:p>
            <w:r>
              <w:rPr>
                <w:rFonts w:ascii="Calibri" w:hAnsi="Calibri"/>
                <w:sz w:val="22"/>
              </w:rPr>
              <w:t>N/A</w:t>
            </w:r>
          </w:p>
        </w:tc>
        <w:tc>
          <w:tcPr>
            <w:tcW w:type="dxa" w:w="1080"/>
          </w:tcPr>
          <w:p>
            <w:r>
              <w:rPr>
                <w:rFonts w:ascii="Calibri" w:hAnsi="Calibri"/>
                <w:sz w:val="22"/>
              </w:rPr>
              <w:t>N/A</w:t>
            </w:r>
          </w:p>
        </w:tc>
      </w:tr>
      <w:tr>
        <w:tc>
          <w:tcPr>
            <w:tcW w:type="dxa" w:w="1080"/>
          </w:tcPr>
          <w:p>
            <w:r>
              <w:rPr>
                <w:rFonts w:ascii="Calibri" w:hAnsi="Calibri"/>
                <w:sz w:val="22"/>
              </w:rPr>
              <w:t>Total Production (Q2 2026, Mboe/d)</w:t>
            </w:r>
          </w:p>
        </w:tc>
        <w:tc>
          <w:tcPr>
            <w:tcW w:type="dxa" w:w="1080"/>
          </w:tcPr>
          <w:p>
            <w:r>
              <w:rPr>
                <w:rFonts w:ascii="Calibri" w:hAnsi="Calibri"/>
                <w:sz w:val="22"/>
              </w:rPr>
              <w:t>4,301 Mboe/d</w:t>
            </w:r>
          </w:p>
        </w:tc>
        <w:tc>
          <w:tcPr>
            <w:tcW w:type="dxa" w:w="1080"/>
          </w:tcPr>
          <w:p>
            <w:r>
              <w:rPr>
                <w:rFonts w:ascii="Calibri" w:hAnsi="Calibri"/>
                <w:sz w:val="22"/>
              </w:rPr>
              <w:t>4,254 Mboe/d</w:t>
            </w:r>
          </w:p>
        </w:tc>
        <w:tc>
          <w:tcPr>
            <w:tcW w:type="dxa" w:w="1080"/>
          </w:tcPr>
          <w:p>
            <w:r>
              <w:rPr>
                <w:rFonts w:ascii="Calibri" w:hAnsi="Calibri"/>
                <w:sz w:val="22"/>
              </w:rPr>
              <w:t>-1.1%</w:t>
            </w:r>
          </w:p>
        </w:tc>
        <w:tc>
          <w:tcPr>
            <w:tcW w:type="dxa" w:w="1080"/>
          </w:tcPr>
          <w:p>
            <w:r>
              <w:rPr>
                <w:rFonts w:ascii="Calibri" w:hAnsi="Calibri"/>
                <w:sz w:val="22"/>
              </w:rPr>
              <w:t>Permian FY: 1.8M boe/d</w:t>
            </w:r>
          </w:p>
        </w:tc>
        <w:tc>
          <w:tcPr>
            <w:tcW w:type="dxa" w:w="1080"/>
          </w:tcPr>
          <w:p>
            <w:r>
              <w:rPr>
                <w:rFonts w:ascii="Calibri" w:hAnsi="Calibri"/>
                <w:sz w:val="22"/>
              </w:rPr>
              <w:t>Unchanged</w:t>
            </w:r>
          </w:p>
        </w:tc>
        <w:tc>
          <w:tcPr>
            <w:tcW w:type="dxa" w:w="1080"/>
          </w:tcPr>
          <w:p>
            <w:r>
              <w:rPr>
                <w:rFonts w:ascii="Calibri" w:hAnsi="Calibri"/>
                <w:sz w:val="22"/>
              </w:rPr>
              <w:t>0%</w:t>
            </w:r>
          </w:p>
        </w:tc>
        <w:tc>
          <w:tcPr>
            <w:tcW w:type="dxa" w:w="1080"/>
          </w:tcPr>
          <w:p>
            <w:r>
              <w:rPr>
                <w:rFonts w:ascii="Calibri" w:hAnsi="Calibri"/>
                <w:sz w:val="22"/>
              </w:rPr>
              <w:t>N/A (segment only)</w:t>
            </w:r>
          </w:p>
        </w:tc>
      </w:tr>
      <w:tr>
        <w:tc>
          <w:tcPr>
            <w:tcW w:type="dxa" w:w="1080"/>
          </w:tcPr>
          <w:p>
            <w:r>
              <w:rPr>
                <w:rFonts w:ascii="Calibri" w:hAnsi="Calibri"/>
                <w:sz w:val="22"/>
              </w:rPr>
              <w:t>Total Production (FY 2026, Mboe/d)</w:t>
            </w:r>
          </w:p>
        </w:tc>
        <w:tc>
          <w:tcPr>
            <w:tcW w:type="dxa" w:w="1080"/>
          </w:tcPr>
          <w:p>
            <w:r>
              <w:rPr>
                <w:rFonts w:ascii="Calibri" w:hAnsi="Calibri"/>
                <w:sz w:val="22"/>
              </w:rPr>
              <w:t>4,658 Mboe/d</w:t>
            </w:r>
          </w:p>
        </w:tc>
        <w:tc>
          <w:tcPr>
            <w:tcW w:type="dxa" w:w="1080"/>
          </w:tcPr>
          <w:p>
            <w:r>
              <w:rPr>
                <w:rFonts w:ascii="Calibri" w:hAnsi="Calibri"/>
                <w:sz w:val="22"/>
              </w:rPr>
              <w:t>4,629 Mboe/d</w:t>
            </w:r>
          </w:p>
        </w:tc>
        <w:tc>
          <w:tcPr>
            <w:tcW w:type="dxa" w:w="1080"/>
          </w:tcPr>
          <w:p>
            <w:r>
              <w:rPr>
                <w:rFonts w:ascii="Calibri" w:hAnsi="Calibri"/>
                <w:sz w:val="22"/>
              </w:rPr>
              <w:t>-0.6%</w:t>
            </w:r>
          </w:p>
        </w:tc>
        <w:tc>
          <w:tcPr>
            <w:tcW w:type="dxa" w:w="1080"/>
          </w:tcPr>
          <w:p>
            <w:r>
              <w:rPr>
                <w:rFonts w:ascii="Calibri" w:hAnsi="Calibri"/>
                <w:sz w:val="22"/>
              </w:rPr>
              <w:t>Permian FY: 1.8M boe/d</w:t>
            </w:r>
          </w:p>
        </w:tc>
        <w:tc>
          <w:tcPr>
            <w:tcW w:type="dxa" w:w="1080"/>
          </w:tcPr>
          <w:p>
            <w:r>
              <w:rPr>
                <w:rFonts w:ascii="Calibri" w:hAnsi="Calibri"/>
                <w:sz w:val="22"/>
              </w:rPr>
              <w:t>Unchanged</w:t>
            </w:r>
          </w:p>
        </w:tc>
        <w:tc>
          <w:tcPr>
            <w:tcW w:type="dxa" w:w="1080"/>
          </w:tcPr>
          <w:p>
            <w:r>
              <w:rPr>
                <w:rFonts w:ascii="Calibri" w:hAnsi="Calibri"/>
                <w:sz w:val="22"/>
              </w:rPr>
              <w:t>0%</w:t>
            </w:r>
          </w:p>
        </w:tc>
        <w:tc>
          <w:tcPr>
            <w:tcW w:type="dxa" w:w="1080"/>
          </w:tcPr>
          <w:p>
            <w:r>
              <w:rPr>
                <w:rFonts w:ascii="Calibri" w:hAnsi="Calibri"/>
                <w:sz w:val="22"/>
              </w:rPr>
              <w:t>N/A</w:t>
            </w:r>
          </w:p>
        </w:tc>
      </w:tr>
      <w:tr>
        <w:tc>
          <w:tcPr>
            <w:tcW w:type="dxa" w:w="1080"/>
          </w:tcPr>
          <w:p>
            <w:r>
              <w:rPr>
                <w:rFonts w:ascii="Calibri" w:hAnsi="Calibri"/>
                <w:sz w:val="22"/>
              </w:rPr>
              <w:t>Free Cash Flow (Q2 2026, $B)</w:t>
            </w:r>
          </w:p>
        </w:tc>
        <w:tc>
          <w:tcPr>
            <w:tcW w:type="dxa" w:w="1080"/>
          </w:tcPr>
          <w:p>
            <w:r>
              <w:rPr>
                <w:rFonts w:ascii="Calibri" w:hAnsi="Calibri"/>
                <w:sz w:val="22"/>
              </w:rPr>
              <w:t>$14.7B</w:t>
            </w:r>
          </w:p>
        </w:tc>
        <w:tc>
          <w:tcPr>
            <w:tcW w:type="dxa" w:w="1080"/>
          </w:tcPr>
          <w:p>
            <w:r>
              <w:rPr>
                <w:rFonts w:ascii="Calibri" w:hAnsi="Calibri"/>
                <w:sz w:val="22"/>
              </w:rPr>
              <w:t>$14.7B</w:t>
            </w:r>
          </w:p>
        </w:tc>
        <w:tc>
          <w:tcPr>
            <w:tcW w:type="dxa" w:w="1080"/>
          </w:tcPr>
          <w:p>
            <w:r>
              <w:rPr>
                <w:rFonts w:ascii="Calibri" w:hAnsi="Calibri"/>
                <w:sz w:val="22"/>
              </w:rPr>
              <w:t>0.0%</w:t>
            </w:r>
          </w:p>
        </w:tc>
        <w:tc>
          <w:tcPr>
            <w:tcW w:type="dxa" w:w="1080"/>
          </w:tcPr>
          <w:p>
            <w:r>
              <w:rPr>
                <w:rFonts w:ascii="Calibri" w:hAnsi="Calibri"/>
                <w:sz w:val="22"/>
              </w:rPr>
              <w:t>No explicit FCF guidance</w:t>
            </w:r>
          </w:p>
        </w:tc>
        <w:tc>
          <w:tcPr>
            <w:tcW w:type="dxa" w:w="1080"/>
          </w:tcPr>
          <w:p>
            <w:r>
              <w:rPr>
                <w:rFonts w:ascii="Calibri" w:hAnsi="Calibri"/>
                <w:sz w:val="22"/>
              </w:rPr>
              <w:t>No explicit FCF guidance</w:t>
            </w:r>
          </w:p>
        </w:tc>
        <w:tc>
          <w:tcPr>
            <w:tcW w:type="dxa" w:w="1080"/>
          </w:tcPr>
          <w:p>
            <w:r>
              <w:rPr>
                <w:rFonts w:ascii="Calibri" w:hAnsi="Calibri"/>
                <w:sz w:val="22"/>
              </w:rPr>
              <w:t>N/A</w:t>
            </w:r>
          </w:p>
        </w:tc>
        <w:tc>
          <w:tcPr>
            <w:tcW w:type="dxa" w:w="1080"/>
          </w:tcPr>
          <w:p>
            <w:r>
              <w:rPr>
                <w:rFonts w:ascii="Calibri" w:hAnsi="Calibri"/>
                <w:sz w:val="22"/>
              </w:rPr>
              <w:t>N/A</w:t>
            </w:r>
          </w:p>
        </w:tc>
      </w:tr>
      <w:tr>
        <w:tc>
          <w:tcPr>
            <w:tcW w:type="dxa" w:w="1080"/>
          </w:tcPr>
          <w:p>
            <w:r>
              <w:rPr>
                <w:rFonts w:ascii="Calibri" w:hAnsi="Calibri"/>
                <w:sz w:val="22"/>
              </w:rPr>
              <w:t>Free Cash Flow (FY 2026, $B)</w:t>
            </w:r>
          </w:p>
        </w:tc>
        <w:tc>
          <w:tcPr>
            <w:tcW w:type="dxa" w:w="1080"/>
          </w:tcPr>
          <w:p>
            <w:r>
              <w:rPr>
                <w:rFonts w:ascii="Calibri" w:hAnsi="Calibri"/>
                <w:sz w:val="22"/>
              </w:rPr>
              <w:t>$43.9B</w:t>
            </w:r>
          </w:p>
        </w:tc>
        <w:tc>
          <w:tcPr>
            <w:tcW w:type="dxa" w:w="1080"/>
          </w:tcPr>
          <w:p>
            <w:r>
              <w:rPr>
                <w:rFonts w:ascii="Calibri" w:hAnsi="Calibri"/>
                <w:sz w:val="22"/>
              </w:rPr>
              <w:t>$44.8B</w:t>
            </w:r>
          </w:p>
        </w:tc>
        <w:tc>
          <w:tcPr>
            <w:tcW w:type="dxa" w:w="1080"/>
          </w:tcPr>
          <w:p>
            <w:r>
              <w:rPr>
                <w:rFonts w:ascii="Calibri" w:hAnsi="Calibri"/>
                <w:sz w:val="22"/>
              </w:rPr>
              <w:t>+2.0%</w:t>
            </w:r>
          </w:p>
        </w:tc>
        <w:tc>
          <w:tcPr>
            <w:tcW w:type="dxa" w:w="1080"/>
          </w:tcPr>
          <w:p>
            <w:r>
              <w:rPr>
                <w:rFonts w:ascii="Calibri" w:hAnsi="Calibri"/>
                <w:sz w:val="22"/>
              </w:rPr>
              <w:t>No explicit FCF guidance</w:t>
            </w:r>
          </w:p>
        </w:tc>
        <w:tc>
          <w:tcPr>
            <w:tcW w:type="dxa" w:w="1080"/>
          </w:tcPr>
          <w:p>
            <w:r>
              <w:rPr>
                <w:rFonts w:ascii="Calibri" w:hAnsi="Calibri"/>
                <w:sz w:val="22"/>
              </w:rPr>
              <w:t>No explicit FCF guidance</w:t>
            </w:r>
          </w:p>
        </w:tc>
        <w:tc>
          <w:tcPr>
            <w:tcW w:type="dxa" w:w="1080"/>
          </w:tcPr>
          <w:p>
            <w:r>
              <w:rPr>
                <w:rFonts w:ascii="Calibri" w:hAnsi="Calibri"/>
                <w:sz w:val="22"/>
              </w:rPr>
              <w:t>N/A</w:t>
            </w:r>
          </w:p>
        </w:tc>
        <w:tc>
          <w:tcPr>
            <w:tcW w:type="dxa" w:w="1080"/>
          </w:tcPr>
          <w:p>
            <w:r>
              <w:rPr>
                <w:rFonts w:ascii="Calibri" w:hAnsi="Calibri"/>
                <w:sz w:val="22"/>
              </w:rPr>
              <w:t>N/A</w:t>
            </w:r>
          </w:p>
        </w:tc>
      </w:tr>
    </w:tbl>
    <w:p>
      <w:r>
        <w:rPr>
          <w:rFonts w:ascii="Calibri" w:hAnsi="Calibri"/>
          <w:i/>
          <w:color w:val="525866"/>
          <w:sz w:val="22"/>
        </w:rPr>
        <w:t>Source: Visible Alpha Consensus and Actuals Data. Post-Q1 baseline = consensus as of May 6, 2026 (5 trading days after May 1 earnings). Current = July 30, 2026.</w:t>
      </w:r>
    </w:p>
    <w:p>
      <w:r>
        <w:rPr>
          <w:rFonts w:ascii="Calibri" w:hAnsi="Calibri"/>
          <w:color w:val="525866"/>
          <w:sz w:val="22"/>
        </w:rPr>
        <w:t>The flat-to-slightly-down Q2 EPS revision trajectory is notable given the extraordinary macro backdrop (Brent +$23/bbl QoQ, record refining margins). This suggests the street is uncertain about the magnitude of the timing effect reversal and Middle East production impacts, leaving the consensus as a potentially conservative bar. FY 2026 estimates have drifted modestly higher (+1.9%), tracking the oil price environment but not fully pricing in the refining margin windfall.</w:t>
      </w:r>
    </w:p>
    <w:p>
      <w:r>
        <w:br w:type="page"/>
      </w:r>
    </w:p>
    <w:p>
      <w:pPr>
        <w:pStyle w:val="Heading2"/>
      </w:pPr>
      <w:r>
        <w:rPr>
          <w:rFonts w:ascii="Calibri" w:hAnsi="Calibri"/>
          <w:b/>
          <w:color w:val="3B4259"/>
          <w:sz w:val="28"/>
        </w:rPr>
        <w:t>5. Stock Performance</w:t>
      </w:r>
    </w:p>
    <w:p>
      <w:r>
        <w:rPr>
          <w:rFonts w:ascii="Calibri" w:hAnsi="Calibri"/>
          <w:b/>
          <w:color w:val="525866"/>
          <w:sz w:val="22"/>
        </w:rPr>
        <w:t xml:space="preserve">Key Takeaway: </w:t>
      </w:r>
      <w:r>
        <w:rPr>
          <w:rFonts w:ascii="Calibri" w:hAnsi="Calibri"/>
          <w:color w:val="525866"/>
          <w:sz w:val="22"/>
        </w:rPr>
        <w:t>XOM has outperformed the XLE energy ETF since Q1 earnings (+2.8% vs. +0.2%), but the stock is ~9% below its mid-May peak of ~$162, driven by a sharp crude oil price pullback in June as ceasefire hopes emerged. The recent recovery to ~$157 (post-market $158.56) suggests the market is re-pricing for a constructive Q2 print, but the stock has not fully priced in the extraordinary refining margin environment.</w:t>
      </w:r>
    </w:p>
    <w:p>
      <w:r>
        <w:drawing>
          <wp:inline xmlns:a="http://schemas.openxmlformats.org/drawingml/2006/main" xmlns:pic="http://schemas.openxmlformats.org/drawingml/2006/picture">
            <wp:extent cx="4572000" cy="3265714"/>
            <wp:docPr id="1" name="Picture 1"/>
            <wp:cNvGraphicFramePr>
              <a:graphicFrameLocks noChangeAspect="1"/>
            </wp:cNvGraphicFramePr>
            <a:graphic>
              <a:graphicData uri="http://schemas.openxmlformats.org/drawingml/2006/picture">
                <pic:pic>
                  <pic:nvPicPr>
                    <pic:cNvPr id="0" name="image.png"/>
                    <pic:cNvPicPr/>
                  </pic:nvPicPr>
                  <pic:blipFill>
                    <a:blip r:embed="rId9"/>
                    <a:stretch>
                      <a:fillRect/>
                    </a:stretch>
                  </pic:blipFill>
                  <pic:spPr>
                    <a:xfrm>
                      <a:off x="0" y="0"/>
                      <a:ext cx="4572000" cy="3265714"/>
                    </a:xfrm>
                    <a:prstGeom prst="rect"/>
                  </pic:spPr>
                </pic:pic>
              </a:graphicData>
            </a:graphic>
          </wp:inline>
        </w:drawing>
      </w:r>
    </w:p>
    <w:p>
      <w:pPr>
        <w:jc w:val="center"/>
      </w:pPr>
      <w:r>
        <w:rPr>
          <w:i/>
          <w:color w:val="666666"/>
          <w:sz w:val="18"/>
        </w:rPr>
        <w:t>XOM vs XLE (Energy ETF) — Indexed to 100 at Q1 2026 Earnings (May 1, 2026). Source: Stock Price Data.</w:t>
      </w:r>
    </w:p>
    <w:p>
      <w:r>
        <w:rPr>
          <w:rFonts w:ascii="Calibri" w:hAnsi="Calibri"/>
          <w:color w:val="525866"/>
          <w:sz w:val="22"/>
        </w:rPr>
        <w:t xml:space="preserve">XOM closed at $156.97 on July 30, 2026 (post-market $158.56), up +2.8% since Q1 earnings vs. XLE +0.2%. The stock followed a distinct three-phase pattern: (1) </w:t>
      </w:r>
      <w:r>
        <w:rPr>
          <w:rFonts w:ascii="Calibri" w:hAnsi="Calibri"/>
          <w:b/>
          <w:color w:val="525866"/>
          <w:sz w:val="22"/>
        </w:rPr>
        <w:t>initial post-earnings rally to ~$162 by May 19</w:t>
      </w:r>
      <w:r>
        <w:rPr>
          <w:rFonts w:ascii="Calibri" w:hAnsi="Calibri"/>
          <w:color w:val="525866"/>
          <w:sz w:val="22"/>
        </w:rPr>
        <w:t xml:space="preserve"> as the market digested the underlying beat and extraordinary refining environment; (2) </w:t>
      </w:r>
      <w:r>
        <w:rPr>
          <w:rFonts w:ascii="Calibri" w:hAnsi="Calibri"/>
          <w:b/>
          <w:color w:val="525866"/>
          <w:sz w:val="22"/>
        </w:rPr>
        <w:t>sharp June selloff to ~$136 (-16% from peak)</w:t>
      </w:r>
      <w:r>
        <w:rPr>
          <w:rFonts w:ascii="Calibri" w:hAnsi="Calibri"/>
          <w:color w:val="525866"/>
          <w:sz w:val="22"/>
        </w:rPr>
        <w:t xml:space="preserve"> as crude prices fell on ceasefire/MoU hopes between the U.S. and Iran; and (3) </w:t>
      </w:r>
      <w:r>
        <w:rPr>
          <w:rFonts w:ascii="Calibri" w:hAnsi="Calibri"/>
          <w:b/>
          <w:color w:val="525866"/>
          <w:sz w:val="22"/>
        </w:rPr>
        <w:t>recovery to ~$157 in late July</w:t>
      </w:r>
      <w:r>
        <w:rPr>
          <w:rFonts w:ascii="Calibri" w:hAnsi="Calibri"/>
          <w:color w:val="525866"/>
          <w:sz w:val="22"/>
        </w:rPr>
        <w:t xml:space="preserve"> as the geopolitical situation remained volatile and Q2 earnings expectations firmed. The XLE ETF tracked a similar but shallower pattern, confirming the moves were sector-driven rather than XOM-specific. The redomiciliation to Texas (July 1) was a governance event with no material stock impact. At ~$157, XOM trades at approximately 14.3x NTM consensus EPS of ~$10.95, in-line with its recent historical range and a modest premium to integrated oil peers, reflecting the market’s recognition of XOM’s structural earnings improvement.</w:t>
      </w:r>
    </w:p>
    <w:p>
      <w:r>
        <w:br w:type="page"/>
      </w:r>
    </w:p>
    <w:p>
      <w:pPr>
        <w:pStyle w:val="Heading2"/>
      </w:pPr>
      <w:r>
        <w:rPr>
          <w:rFonts w:ascii="Calibri" w:hAnsi="Calibri"/>
          <w:b/>
          <w:color w:val="3B4259"/>
          <w:sz w:val="28"/>
        </w:rPr>
        <w:t>6. Material News &amp; Developments</w:t>
      </w:r>
    </w:p>
    <w:p>
      <w:r>
        <w:rPr>
          <w:rFonts w:ascii="Calibri" w:hAnsi="Calibri"/>
          <w:b/>
          <w:color w:val="525866"/>
          <w:sz w:val="22"/>
        </w:rPr>
        <w:t xml:space="preserve">Key Takeaway: </w:t>
      </w:r>
      <w:r>
        <w:rPr>
          <w:rFonts w:ascii="Calibri" w:hAnsi="Calibri"/>
          <w:color w:val="525866"/>
          <w:sz w:val="22"/>
        </w:rPr>
        <w:t>The most important development since Q1 earnings is the extraordinary refining margin environment driven by Middle East disruptions — ~5M bbl/d of global refining capacity offline, global product inventories ~130M bbl below normal, and Russian refinery damage from Ukrainian drone attacks worsening month-over-month. This is a direct and material tailwind for XOM’s Energy Products segment in Q2.</w:t>
      </w:r>
    </w:p>
    <w:p>
      <w:pPr>
        <w:pStyle w:val="ListBullet"/>
        <w:ind w:left="360" w:hanging="360"/>
      </w:pPr>
      <w:r>
        <w:rPr>
          <w:rFonts w:ascii="Calibri" w:hAnsi="Calibri"/>
          <w:b/>
          <w:color w:val="525866"/>
          <w:sz w:val="22"/>
        </w:rPr>
        <w:t>July 1, 2026 — Redomiciliation to Texas Completed:</w:t>
      </w:r>
      <w:r>
        <w:rPr>
          <w:rFonts w:ascii="Calibri" w:hAnsi="Calibri"/>
          <w:color w:val="525866"/>
          <w:sz w:val="22"/>
        </w:rPr>
        <w:t xml:space="preserve"> ExxonMobil Holdings Corporation became the publicly traded parent company, replacing Exxon Mobil Corporation of New Jersey. Shares continue to trade as XOM on NYSE. Governance changes include a smaller board (3–5 members) and reduced authorized share count. No material near-term earnings impact; long-term governance simplification.</w:t>
      </w:r>
    </w:p>
    <w:p>
      <w:pPr>
        <w:pStyle w:val="ListBullet"/>
        <w:ind w:left="360" w:hanging="360"/>
      </w:pPr>
      <w:r>
        <w:rPr>
          <w:rFonts w:ascii="Calibri" w:hAnsi="Calibri"/>
          <w:b/>
          <w:color w:val="525866"/>
          <w:sz w:val="22"/>
        </w:rPr>
        <w:t>July 21, 2026 — Q2 2026 Earnings Date Announced:</w:t>
      </w:r>
      <w:r>
        <w:rPr>
          <w:rFonts w:ascii="Calibri" w:hAnsi="Calibri"/>
          <w:color w:val="525866"/>
          <w:sz w:val="22"/>
        </w:rPr>
        <w:t xml:space="preserve"> XOM confirmed July 31, 2026 (before market open) for Q2 results, with conference call at 8:30 a.m. CT. Standard disclosure; confirms no pre-announcement.</w:t>
      </w:r>
    </w:p>
    <w:p>
      <w:pPr>
        <w:pStyle w:val="ListBullet"/>
        <w:ind w:left="360" w:hanging="360"/>
      </w:pPr>
      <w:r>
        <w:rPr>
          <w:rFonts w:ascii="Calibri" w:hAnsi="Calibri"/>
          <w:b/>
          <w:color w:val="525866"/>
          <w:sz w:val="22"/>
        </w:rPr>
        <w:t>Ongoing — Middle East Conflict &amp; Strait of Hormuz Disruption:</w:t>
      </w:r>
      <w:r>
        <w:rPr>
          <w:rFonts w:ascii="Calibri" w:hAnsi="Calibri"/>
          <w:color w:val="525866"/>
          <w:sz w:val="22"/>
        </w:rPr>
        <w:t xml:space="preserve"> The Strait of Hormuz has been an “intermittent battleground” (TotalEnergies Q2 call) since late February 2026. Approximately 5M bbl/d of global refining capacity is offline (Valero Q2 call). Global light product inventories are ~130M bbl below normal for this time of year (Valero). </w:t>
      </w:r>
      <w:r>
        <w:rPr>
          <w:rFonts w:ascii="Calibri" w:hAnsi="Calibri"/>
          <w:color w:val="525866"/>
          <w:sz w:val="22"/>
        </w:rPr>
        <w:t>Implication: Extraordinary tailwind for XOM’s refining and trading segments in Q2; also creates timing effect reversal as physical cargoes are delivered.</w:t>
      </w:r>
    </w:p>
    <w:p>
      <w:pPr>
        <w:pStyle w:val="ListBullet"/>
        <w:ind w:left="360" w:hanging="360"/>
      </w:pPr>
      <w:r>
        <w:rPr>
          <w:rFonts w:ascii="Calibri" w:hAnsi="Calibri"/>
          <w:b/>
          <w:color w:val="525866"/>
          <w:sz w:val="22"/>
        </w:rPr>
        <w:t>Ongoing — Ukrainian Drone Attacks on Russian Refining Capacity:</w:t>
      </w:r>
      <w:r>
        <w:rPr>
          <w:rFonts w:ascii="Calibri" w:hAnsi="Calibri"/>
          <w:color w:val="525866"/>
          <w:sz w:val="22"/>
        </w:rPr>
        <w:t xml:space="preserve"> ~1.7–1.9M bbl/d of Russian refining capacity is currently offline, with the trend worsening from May to July (Valero Q2 call). Attacks are targeting critical equipment, suggesting a longer recovery period. </w:t>
      </w:r>
      <w:r>
        <w:rPr>
          <w:rFonts w:ascii="Calibri" w:hAnsi="Calibri"/>
          <w:color w:val="525866"/>
          <w:sz w:val="22"/>
        </w:rPr>
        <w:t>Implication: Structural tightening of global refining capacity; supports elevated crack spreads into Q3.</w:t>
      </w:r>
    </w:p>
    <w:p>
      <w:pPr>
        <w:pStyle w:val="ListBullet"/>
        <w:ind w:left="360" w:hanging="360"/>
      </w:pPr>
      <w:r>
        <w:rPr>
          <w:rFonts w:ascii="Calibri" w:hAnsi="Calibri"/>
          <w:b/>
          <w:color w:val="525866"/>
          <w:sz w:val="22"/>
        </w:rPr>
        <w:t>Ongoing — Qatar LNG Train Damage (Multi-Year Headwind):</w:t>
      </w:r>
      <w:r>
        <w:rPr>
          <w:rFonts w:ascii="Calibri" w:hAnsi="Calibri"/>
          <w:color w:val="525866"/>
          <w:sz w:val="22"/>
        </w:rPr>
        <w:t xml:space="preserve"> Two QatarEnergy LNG trains (XOM JV partner) were damaged by missile strikes in Q1 2026, representing ~3% of XOM’s global production. Repair timeline: 3–5 years; cold box is the critical path. </w:t>
      </w:r>
      <w:r>
        <w:rPr>
          <w:rFonts w:ascii="Calibri" w:hAnsi="Calibri"/>
          <w:color w:val="525866"/>
          <w:sz w:val="22"/>
        </w:rPr>
        <w:t>Implication: Ongoing production headwind; partially offset by tighter LNG market and higher prices.</w:t>
      </w:r>
    </w:p>
    <w:p>
      <w:pPr>
        <w:pStyle w:val="ListBullet"/>
        <w:ind w:left="360" w:hanging="360"/>
      </w:pPr>
      <w:r>
        <w:rPr>
          <w:rFonts w:ascii="Calibri" w:hAnsi="Calibri"/>
          <w:b/>
          <w:color w:val="525866"/>
          <w:sz w:val="22"/>
        </w:rPr>
        <w:t>May 4, 2026 — New Principal Accounting Officer Appointed:</w:t>
      </w:r>
      <w:r>
        <w:rPr>
          <w:rFonts w:ascii="Calibri" w:hAnsi="Calibri"/>
          <w:color w:val="525866"/>
          <w:sz w:val="22"/>
        </w:rPr>
        <w:t xml:space="preserve"> Susan Buchanan appointed as Principal Accounting Officer (8-K filing). Routine governance change; no earnings impact.</w:t>
      </w:r>
    </w:p>
    <w:p>
      <w:pPr>
        <w:pStyle w:val="ListBullet"/>
        <w:ind w:left="360" w:hanging="360"/>
      </w:pPr>
      <w:r>
        <w:rPr>
          <w:rFonts w:ascii="Calibri" w:hAnsi="Calibri"/>
          <w:b/>
          <w:color w:val="525866"/>
          <w:sz w:val="22"/>
        </w:rPr>
        <w:t>May 2026 — Bernstein Conference Appearance:</w:t>
      </w:r>
      <w:r>
        <w:rPr>
          <w:rFonts w:ascii="Calibri" w:hAnsi="Calibri"/>
          <w:color w:val="525866"/>
          <w:sz w:val="22"/>
        </w:rPr>
        <w:t xml:space="preserve"> XOM management presented at the Bernstein 42nd Annual Strategic Decisions Conference. No material new disclosures identified beyond Q1 earnings call commentary.</w:t>
      </w:r>
    </w:p>
    <w:p>
      <w:pPr>
        <w:pStyle w:val="ListBullet"/>
        <w:ind w:left="360" w:hanging="360"/>
      </w:pPr>
      <w:r>
        <w:rPr>
          <w:rFonts w:ascii="Calibri" w:hAnsi="Calibri"/>
          <w:b/>
          <w:color w:val="525866"/>
          <w:sz w:val="22"/>
        </w:rPr>
        <w:t>Q1 2026 — Golden Pass LNG Train 1 First Production:</w:t>
      </w:r>
      <w:r>
        <w:rPr>
          <w:rFonts w:ascii="Calibri" w:hAnsi="Calibri"/>
          <w:color w:val="525866"/>
          <w:sz w:val="22"/>
        </w:rPr>
        <w:t xml:space="preserve"> First LNG cargo achieved in March 2026. Train 2 expected mechanically complete by end of 2026; Train 3 in Q2 2027. </w:t>
      </w:r>
      <w:r>
        <w:rPr>
          <w:rFonts w:ascii="Calibri" w:hAnsi="Calibri"/>
          <w:color w:val="525866"/>
          <w:sz w:val="22"/>
        </w:rPr>
        <w:t>Implication: Incremental LNG volume contribution in Q2 2026; adds ~5% to U.S. LNG exports when fully ramped.</w:t>
      </w:r>
    </w:p>
    <w:p>
      <w:pPr>
        <w:pStyle w:val="ListBullet"/>
        <w:ind w:left="360" w:hanging="360"/>
      </w:pPr>
      <w:r>
        <w:rPr>
          <w:rFonts w:ascii="Calibri" w:hAnsi="Calibri"/>
          <w:b/>
          <w:color w:val="525866"/>
          <w:sz w:val="22"/>
        </w:rPr>
        <w:t>Q1 2026 — Guyana Record Production:</w:t>
      </w:r>
      <w:r>
        <w:rPr>
          <w:rFonts w:ascii="Calibri" w:hAnsi="Calibri"/>
          <w:color w:val="525866"/>
          <w:sz w:val="22"/>
        </w:rPr>
        <w:t xml:space="preserve"> All four FPSOs running above design capacity, achieving record ~900K+ gross bbl/d in Q1. Uaru FPSO first oil expected late 2026. </w:t>
      </w:r>
      <w:r>
        <w:rPr>
          <w:rFonts w:ascii="Calibri" w:hAnsi="Calibri"/>
          <w:color w:val="525866"/>
          <w:sz w:val="22"/>
        </w:rPr>
        <w:t>Implication: Continued high-margin production growth; watch for Q2 production update.</w:t>
      </w:r>
    </w:p>
    <w:p>
      <w:pPr>
        <w:pStyle w:val="ListBullet"/>
        <w:ind w:left="360" w:hanging="360"/>
      </w:pPr>
      <w:r>
        <w:rPr>
          <w:rFonts w:ascii="Calibri" w:hAnsi="Calibri"/>
          <w:b/>
          <w:color w:val="525866"/>
          <w:sz w:val="22"/>
        </w:rPr>
        <w:t>Macro — Brent Crude Averaged $104/bbl in Q2 2026:</w:t>
      </w:r>
      <w:r>
        <w:rPr>
          <w:rFonts w:ascii="Calibri" w:hAnsi="Calibri"/>
          <w:color w:val="525866"/>
          <w:sz w:val="22"/>
        </w:rPr>
        <w:t xml:space="preserve"> Up from $81/bbl in Q1 (TotalEnergies Q2 call). Refining margins reached historic levels. </w:t>
      </w:r>
      <w:r>
        <w:rPr>
          <w:rFonts w:ascii="Calibri" w:hAnsi="Calibri"/>
          <w:color w:val="525866"/>
          <w:sz w:val="22"/>
        </w:rPr>
        <w:t>Implication: Largest single driver of Q2 earnings upside vs. Q1; also drives timing effect reversal.</w:t>
      </w:r>
    </w:p>
    <w:p>
      <w:pPr>
        <w:pStyle w:val="ListBullet"/>
        <w:ind w:left="360" w:hanging="360"/>
      </w:pPr>
      <w:r>
        <w:rPr>
          <w:rFonts w:ascii="Calibri" w:hAnsi="Calibri"/>
          <w:b/>
          <w:color w:val="525866"/>
          <w:sz w:val="22"/>
        </w:rPr>
        <w:t>Macro — SPR Drawdown Nearing Limits:</w:t>
      </w:r>
      <w:r>
        <w:rPr>
          <w:rFonts w:ascii="Calibri" w:hAnsi="Calibri"/>
          <w:color w:val="525866"/>
          <w:sz w:val="22"/>
        </w:rPr>
        <w:t xml:space="preserve"> Of the 172M bbl SPR release announced in March, ~130M bbl committed/contracted, leaving ~40M bbl remaining (Valero Q2 call). Cushing tanks “at the bottoms” (PSX JP Morgan conference). </w:t>
      </w:r>
      <w:r>
        <w:rPr>
          <w:rFonts w:ascii="Calibri" w:hAnsi="Calibri"/>
          <w:color w:val="525866"/>
          <w:sz w:val="22"/>
        </w:rPr>
        <w:t>Implication: Mitigating factors for crude supply are running out; supports XOM’s internal model of a potential sharp price spike once minimum inventory levels are breached.</w:t>
      </w:r>
    </w:p>
    <w:p>
      <w:r>
        <w:br w:type="page"/>
      </w:r>
    </w:p>
    <w:p>
      <w:pPr>
        <w:pStyle w:val="Heading2"/>
      </w:pPr>
      <w:r>
        <w:rPr>
          <w:rFonts w:ascii="Calibri" w:hAnsi="Calibri"/>
          <w:b/>
          <w:color w:val="3B4259"/>
          <w:sz w:val="28"/>
        </w:rPr>
        <w:t>7. Peer Commentaries — Q2 2026 Read-Throughs</w:t>
      </w:r>
    </w:p>
    <w:p>
      <w:r>
        <w:rPr>
          <w:rFonts w:ascii="Calibri" w:hAnsi="Calibri"/>
          <w:b/>
          <w:color w:val="525866"/>
          <w:sz w:val="22"/>
        </w:rPr>
        <w:t xml:space="preserve">Key Takeaway: </w:t>
      </w:r>
      <w:r>
        <w:rPr>
          <w:rFonts w:ascii="Calibri" w:hAnsi="Calibri"/>
          <w:color w:val="525866"/>
          <w:sz w:val="22"/>
        </w:rPr>
        <w:t>Peer prints and conference commentary from the last 60 days paint a uniformly bullish picture for XOM’s Q2 setup: record refining margins, extraordinary trading performance, strong upstream production, and a tighter-than-expected LNG market. The read-through from TotalEnergies (Q2 actual), Shell (Q2 actual), and Valero (Q2 actual) is unambiguously positive for XOM’s Energy Products and Upstream segments. The key risk flagged by peers is softening chemical spreads in Q3 and the uncertainty around the timing and pace of Strait of Hormuz reopening.</w:t>
      </w:r>
    </w:p>
    <w:p>
      <w:pPr>
        <w:pStyle w:val="Heading3"/>
      </w:pPr>
      <w:r>
        <w:rPr>
          <w:rFonts w:ascii="Calibri" w:hAnsi="Calibri"/>
          <w:b/>
          <w:color w:val="3B4259"/>
          <w:sz w:val="24"/>
        </w:rPr>
        <w:t>TotalEnergies (TTE) — Q2 2026 Earnings (Reported July 23, 2026)</w:t>
      </w:r>
    </w:p>
    <w:p>
      <w:r>
        <w:rPr>
          <w:rFonts w:ascii="Calibri" w:hAnsi="Calibri"/>
          <w:b/>
          <w:color w:val="525866"/>
          <w:sz w:val="22"/>
        </w:rPr>
        <w:t xml:space="preserve">Read-Through Relevance: </w:t>
      </w:r>
      <w:r>
        <w:rPr>
          <w:rFonts w:ascii="Calibri" w:hAnsi="Calibri"/>
          <w:color w:val="525866"/>
          <w:sz w:val="22"/>
        </w:rPr>
        <w:t>HIGH — TTE is the closest integrated oil peer to XOM with similar upstream/downstream/LNG exposure. TTE’s Q2 results are a direct read-through for XOM’s Q2 environment.</w:t>
      </w:r>
    </w:p>
    <w:p>
      <w:pPr>
        <w:pStyle w:val="ListBullet"/>
        <w:ind w:left="360" w:hanging="360"/>
      </w:pPr>
      <w:r>
        <w:rPr>
          <w:rFonts w:ascii="Calibri" w:hAnsi="Calibri"/>
          <w:b/>
          <w:color w:val="525866"/>
          <w:sz w:val="22"/>
        </w:rPr>
        <w:t>Brent averaged $104/bbl in Q2 2026 (vs. $81 in Q1), up +28% QoQ.</w:t>
      </w:r>
      <w:r>
        <w:rPr>
          <w:rFonts w:ascii="Calibri" w:hAnsi="Calibri"/>
          <w:color w:val="525866"/>
          <w:sz w:val="22"/>
        </w:rPr>
        <w:t xml:space="preserve"> European refining margins increased by $13.5/bbl on average over the quarter. Integrated margins reached ~$130/bbl. </w:t>
      </w:r>
      <w:r>
        <w:rPr>
          <w:rFonts w:ascii="Calibri" w:hAnsi="Calibri"/>
          <w:color w:val="525866"/>
          <w:sz w:val="22"/>
        </w:rPr>
        <w:t>XOM read-through: Confirms the extraordinary commodity tailwind for XOM’s upstream and refining segments in Q2.</w:t>
      </w:r>
    </w:p>
    <w:p>
      <w:pPr>
        <w:pStyle w:val="ListBullet"/>
        <w:ind w:left="360" w:hanging="360"/>
      </w:pPr>
      <w:r>
        <w:rPr>
          <w:rFonts w:ascii="Calibri" w:hAnsi="Calibri"/>
          <w:b/>
          <w:color w:val="525866"/>
          <w:sz w:val="22"/>
        </w:rPr>
        <w:t>TTE generated ~$10B in company-level cash flow in Q2</w:t>
      </w:r>
      <w:r>
        <w:rPr>
          <w:rFonts w:ascii="Calibri" w:hAnsi="Calibri"/>
          <w:color w:val="525866"/>
          <w:sz w:val="22"/>
        </w:rPr>
        <w:t xml:space="preserve"> and reduced net debt by $3.3B. Increased interim quarterly dividend by 5.9% to €0.9/share; buybacks raised to $1.5B in Q2. </w:t>
      </w:r>
      <w:r>
        <w:rPr>
          <w:rFonts w:ascii="Calibri" w:hAnsi="Calibri"/>
          <w:color w:val="525866"/>
          <w:sz w:val="22"/>
        </w:rPr>
        <w:t>XOM read-through: Confirms the cash generation environment is exceptional; XOM’s FCF consensus of $14.7B for Q2 may be achievable.</w:t>
      </w:r>
    </w:p>
    <w:p>
      <w:pPr>
        <w:pStyle w:val="ListBullet"/>
        <w:ind w:left="360" w:hanging="360"/>
      </w:pPr>
      <w:r>
        <w:rPr>
          <w:rFonts w:ascii="Calibri" w:hAnsi="Calibri"/>
          <w:b/>
          <w:color w:val="525866"/>
          <w:sz w:val="22"/>
        </w:rPr>
        <w:t>LNG production decreased 10% QoQ due to Qatar shut-ins.</w:t>
      </w:r>
      <w:r>
        <w:rPr>
          <w:rFonts w:ascii="Calibri" w:hAnsi="Calibri"/>
          <w:color w:val="525866"/>
          <w:sz w:val="22"/>
        </w:rPr>
        <w:t xml:space="preserve"> However, average LNG price increased 20% to $10.2/mmBtu. Gas trading results were “weak” in Q2 due to flat-to-declining European gas prices, but TTE expects gas trading to “be back to some overperformance” in Q3 as European gas prices have rallied since early July. </w:t>
      </w:r>
      <w:r>
        <w:rPr>
          <w:rFonts w:ascii="Calibri" w:hAnsi="Calibri"/>
          <w:color w:val="525866"/>
          <w:sz w:val="22"/>
        </w:rPr>
        <w:t>XOM read-through: Qatar LNG headwind is shared; XOM’s trading organization may have had similar gas trading challenges in Q2, but the oil/products trading side was likely very strong.</w:t>
      </w:r>
    </w:p>
    <w:p>
      <w:pPr>
        <w:pStyle w:val="ListBullet"/>
        <w:ind w:left="360" w:hanging="360"/>
      </w:pPr>
      <w:r>
        <w:rPr>
          <w:rFonts w:ascii="Calibri" w:hAnsi="Calibri"/>
          <w:b/>
          <w:color w:val="525866"/>
          <w:sz w:val="22"/>
        </w:rPr>
        <w:t>Middle East production impact was ~210K boe/d in Q2 (below the 360K guided)</w:t>
      </w:r>
      <w:r>
        <w:rPr>
          <w:rFonts w:ascii="Calibri" w:hAnsi="Calibri"/>
          <w:color w:val="525866"/>
          <w:sz w:val="22"/>
        </w:rPr>
        <w:t xml:space="preserve"> due to UAE ramp-ups and regional restarts in June. Physical lifting impact was ~350K boe/d, in line with guidance. </w:t>
      </w:r>
      <w:r>
        <w:rPr>
          <w:rFonts w:ascii="Calibri" w:hAnsi="Calibri"/>
          <w:color w:val="525866"/>
          <w:sz w:val="22"/>
        </w:rPr>
        <w:t>XOM read-through: Middle East disruption impact may have been partially mitigated by similar regional dynamics; watch for XOM’s Qatar/UAE production update.</w:t>
      </w:r>
    </w:p>
    <w:p>
      <w:pPr>
        <w:pStyle w:val="ListBullet"/>
        <w:ind w:left="360" w:hanging="360"/>
      </w:pPr>
      <w:r>
        <w:rPr>
          <w:rFonts w:ascii="Calibri" w:hAnsi="Calibri"/>
          <w:b/>
          <w:color w:val="525866"/>
          <w:sz w:val="22"/>
        </w:rPr>
        <w:t>Refining &amp; Chemicals adj. net operating income up $200M QoQ to $5.8B; cash flow $2B.</w:t>
      </w:r>
      <w:r>
        <w:rPr>
          <w:rFonts w:ascii="Calibri" w:hAnsi="Calibri"/>
          <w:color w:val="525866"/>
          <w:sz w:val="22"/>
        </w:rPr>
        <w:t xml:space="preserve"> Marketing &amp; Services delivered its “best ever quarter” with adj. NOI up 21% YoY to $500M. Crude/products trading was “very successful for the second quarter in a row” with ~$500M overperformance. </w:t>
      </w:r>
      <w:r>
        <w:rPr>
          <w:rFonts w:ascii="Calibri" w:hAnsi="Calibri"/>
          <w:color w:val="525866"/>
          <w:sz w:val="22"/>
        </w:rPr>
        <w:t>XOM read-through: Strongly positive for XOM’s Energy Products and trading segments.</w:t>
      </w:r>
    </w:p>
    <w:p>
      <w:pPr>
        <w:pStyle w:val="ListBullet"/>
        <w:ind w:left="360" w:hanging="360"/>
      </w:pPr>
      <w:r>
        <w:rPr>
          <w:rFonts w:ascii="Calibri" w:hAnsi="Calibri"/>
          <w:b/>
          <w:color w:val="525866"/>
          <w:sz w:val="22"/>
        </w:rPr>
        <w:t>Q3 2026 outlook: Refining margins in July averaged $31/bbl (vs. $35 in Q2); chemical spreads beginning to soften.</w:t>
      </w:r>
      <w:r>
        <w:rPr>
          <w:rFonts w:ascii="Calibri" w:hAnsi="Calibri"/>
          <w:color w:val="525866"/>
          <w:sz w:val="22"/>
        </w:rPr>
        <w:t xml:space="preserve"> LNG selling price expected above $11.5/mmBtu in Q3 (oil price lag). Full-year cash flow guidance raised to $34.5–35B (at $80 oil/$7 refining margin). </w:t>
      </w:r>
      <w:r>
        <w:rPr>
          <w:rFonts w:ascii="Calibri" w:hAnsi="Calibri"/>
          <w:color w:val="525866"/>
          <w:sz w:val="22"/>
        </w:rPr>
        <w:t>XOM read-through: Q3 refining margins may moderate from Q2 peaks; LNG pricing tailwind continues into Q3 due to oil-price lag.</w:t>
      </w:r>
    </w:p>
    <w:p>
      <w:pPr>
        <w:pStyle w:val="Heading3"/>
      </w:pPr>
      <w:r>
        <w:rPr>
          <w:rFonts w:ascii="Calibri" w:hAnsi="Calibri"/>
          <w:b/>
          <w:color w:val="3B4259"/>
          <w:sz w:val="24"/>
        </w:rPr>
        <w:t>Shell (SHEL) — Q2 2026 Earnings (Reported July 30, 2026)</w:t>
      </w:r>
    </w:p>
    <w:p>
      <w:r>
        <w:rPr>
          <w:rFonts w:ascii="Calibri" w:hAnsi="Calibri"/>
          <w:b/>
          <w:color w:val="525866"/>
          <w:sz w:val="22"/>
        </w:rPr>
        <w:t xml:space="preserve">Read-Through Relevance: </w:t>
      </w:r>
      <w:r>
        <w:rPr>
          <w:rFonts w:ascii="Calibri" w:hAnsi="Calibri"/>
          <w:color w:val="525866"/>
          <w:sz w:val="22"/>
        </w:rPr>
        <w:t>HIGH — Shell is the most comparable integrated oil major to XOM globally, with similar upstream, LNG, refining, and chemicals exposure. Shell’s Q2 results reported today are the most timely read-through available.</w:t>
      </w:r>
    </w:p>
    <w:p>
      <w:pPr>
        <w:pStyle w:val="ListBullet"/>
        <w:ind w:left="360" w:hanging="360"/>
      </w:pPr>
      <w:r>
        <w:rPr>
          <w:rFonts w:ascii="Calibri" w:hAnsi="Calibri"/>
          <w:b/>
          <w:color w:val="525866"/>
          <w:sz w:val="22"/>
        </w:rPr>
        <w:t>Shell Q2 adjusted earnings: $9.8B; cash flow from operations: $21B+.</w:t>
      </w:r>
      <w:r>
        <w:rPr>
          <w:rFonts w:ascii="Calibri" w:hAnsi="Calibri"/>
          <w:color w:val="525866"/>
          <w:sz w:val="22"/>
        </w:rPr>
        <w:t xml:space="preserve"> Management described results as “very strong” and emphasized the company “delivers through volatility.” </w:t>
      </w:r>
      <w:r>
        <w:rPr>
          <w:rFonts w:ascii="Calibri" w:hAnsi="Calibri"/>
          <w:color w:val="525866"/>
          <w:sz w:val="22"/>
        </w:rPr>
        <w:t>XOM read-through: Sets a high bar for integrated oil Q2 performance; XOM’s operating net income consensus of $14.8B implies a similar or better result given XOM’s larger scale.</w:t>
      </w:r>
    </w:p>
    <w:p>
      <w:pPr>
        <w:pStyle w:val="ListBullet"/>
        <w:ind w:left="360" w:hanging="360"/>
      </w:pPr>
      <w:r>
        <w:rPr>
          <w:rFonts w:ascii="Calibri" w:hAnsi="Calibri"/>
          <w:b/>
          <w:color w:val="525866"/>
          <w:sz w:val="22"/>
        </w:rPr>
        <w:t>Refineries achieved record 102% utilization in Q2, shifting production toward middle distillates (jet fuel, diesel).</w:t>
      </w:r>
      <w:r>
        <w:rPr>
          <w:rFonts w:ascii="Calibri" w:hAnsi="Calibri"/>
          <w:color w:val="525866"/>
          <w:sz w:val="22"/>
        </w:rPr>
        <w:t xml:space="preserve"> Chemicals delivered its best performance in over five years, with positive free cash flow contribution. Pennsylvania Monaca facility hit record performance. </w:t>
      </w:r>
      <w:r>
        <w:rPr>
          <w:rFonts w:ascii="Calibri" w:hAnsi="Calibri"/>
          <w:color w:val="525866"/>
          <w:sz w:val="22"/>
        </w:rPr>
        <w:t>XOM read-through: Directly confirms the extraordinary refining and chemicals margin environment; XOM’s Gulf Coast refineries (including Beaumont expansion) should have benefited similarly.</w:t>
      </w:r>
    </w:p>
    <w:p>
      <w:pPr>
        <w:pStyle w:val="ListBullet"/>
        <w:ind w:left="360" w:hanging="360"/>
      </w:pPr>
      <w:r>
        <w:rPr>
          <w:rFonts w:ascii="Calibri" w:hAnsi="Calibri"/>
          <w:b/>
          <w:color w:val="525866"/>
          <w:sz w:val="22"/>
        </w:rPr>
        <w:t>LNG Canada JV achieved full capacity in Q2 (100+ cargoes in first year).</w:t>
      </w:r>
      <w:r>
        <w:rPr>
          <w:rFonts w:ascii="Calibri" w:hAnsi="Calibri"/>
          <w:color w:val="525866"/>
          <w:sz w:val="22"/>
        </w:rPr>
        <w:t xml:space="preserve"> Strong integrated gas performance helped offset lost Qatar LNG volumes. LNG trading and optimization captured “significant additional value” vs. Q1. </w:t>
      </w:r>
      <w:r>
        <w:rPr>
          <w:rFonts w:ascii="Calibri" w:hAnsi="Calibri"/>
          <w:color w:val="525866"/>
          <w:sz w:val="22"/>
        </w:rPr>
        <w:t>XOM read-through: Positive for XOM’s LNG trading and optimization; Golden Pass Train 1 contribution adds incrementally.</w:t>
      </w:r>
    </w:p>
    <w:p>
      <w:pPr>
        <w:pStyle w:val="ListBullet"/>
        <w:ind w:left="360" w:hanging="360"/>
      </w:pPr>
      <w:r>
        <w:rPr>
          <w:rFonts w:ascii="Calibri" w:hAnsi="Calibri"/>
          <w:b/>
          <w:color w:val="525866"/>
          <w:sz w:val="22"/>
        </w:rPr>
        <w:t>Structural cost reductions: $700M delivered in 2026 YTD; halfway through $5–7B target.</w:t>
      </w:r>
      <w:r>
        <w:rPr>
          <w:rFonts w:ascii="Calibri" w:hAnsi="Calibri"/>
          <w:color w:val="525866"/>
          <w:sz w:val="22"/>
        </w:rPr>
        <w:t xml:space="preserve"> Portfolio high-grading delivered ~$6B in savings since 2022. </w:t>
      </w:r>
      <w:r>
        <w:rPr>
          <w:rFonts w:ascii="Calibri" w:hAnsi="Calibri"/>
          <w:color w:val="525866"/>
          <w:sz w:val="22"/>
        </w:rPr>
        <w:t>XOM read-through: XOM’s own structural cost savings ($15B cumulative through 2025, targeting $20B by 2030) are ahead of Shell’s pace; confirms the sector-wide cost discipline trend.</w:t>
      </w:r>
    </w:p>
    <w:p>
      <w:pPr>
        <w:pStyle w:val="ListBullet"/>
        <w:ind w:left="360" w:hanging="360"/>
      </w:pPr>
      <w:r>
        <w:rPr>
          <w:rFonts w:ascii="Calibri" w:hAnsi="Calibri"/>
          <w:b/>
          <w:color w:val="525866"/>
          <w:sz w:val="22"/>
        </w:rPr>
        <w:t>Q3 2026 outlook: Positive refining margin environment expected; chemical spreads beginning to soften.</w:t>
      </w:r>
      <w:r>
        <w:rPr>
          <w:rFonts w:ascii="Calibri" w:hAnsi="Calibri"/>
          <w:color w:val="525866"/>
          <w:sz w:val="22"/>
        </w:rPr>
        <w:t xml:space="preserve"> More downstream turnarounds in Q3 vs. Q2. LNG market tightness expected to continue “in the next quarter or so.” Trading expected at top end of 2–4% RoCE range if volatility continues. </w:t>
      </w:r>
      <w:r>
        <w:rPr>
          <w:rFonts w:ascii="Calibri" w:hAnsi="Calibri"/>
          <w:color w:val="525866"/>
          <w:sz w:val="22"/>
        </w:rPr>
        <w:t>XOM read-through: Q3 refining may moderate; LNG tightness is a tailwind for XOM’s LNG portfolio pricing.</w:t>
      </w:r>
    </w:p>
    <w:p>
      <w:pPr>
        <w:pStyle w:val="ListBullet"/>
        <w:ind w:left="360" w:hanging="360"/>
      </w:pPr>
      <w:r>
        <w:rPr>
          <w:rFonts w:ascii="Calibri" w:hAnsi="Calibri"/>
          <w:b/>
          <w:color w:val="525866"/>
          <w:sz w:val="22"/>
        </w:rPr>
        <w:t>Ark Resources acquisition (Canada) expected to close in Q3 2026</w:t>
      </w:r>
      <w:r>
        <w:rPr>
          <w:rFonts w:ascii="Calibri" w:hAnsi="Calibri"/>
          <w:color w:val="525866"/>
          <w:sz w:val="22"/>
        </w:rPr>
        <w:t xml:space="preserve">, lifting Shell’s production growth to 2030 from ~1%/yr to ~4%. Venezuela offshore gas field contract signed. Namibia exploration well described as “most promising to date.” </w:t>
      </w:r>
      <w:r>
        <w:rPr>
          <w:rFonts w:ascii="Calibri" w:hAnsi="Calibri"/>
          <w:color w:val="525866"/>
          <w:sz w:val="22"/>
        </w:rPr>
        <w:t>XOM read-through: Competitive context — Shell is accelerating production growth; XOM’s own Guyana/Permian growth trajectory remains differentiated.</w:t>
      </w:r>
    </w:p>
    <w:p>
      <w:pPr>
        <w:pStyle w:val="Heading3"/>
      </w:pPr>
      <w:r>
        <w:rPr>
          <w:rFonts w:ascii="Calibri" w:hAnsi="Calibri"/>
          <w:b/>
          <w:color w:val="3B4259"/>
          <w:sz w:val="24"/>
        </w:rPr>
        <w:t>Valero Energy (VLO) — Q2 2026 Earnings (Reported July 30, 2026)</w:t>
      </w:r>
    </w:p>
    <w:p>
      <w:r>
        <w:rPr>
          <w:rFonts w:ascii="Calibri" w:hAnsi="Calibri"/>
          <w:b/>
          <w:color w:val="525866"/>
          <w:sz w:val="22"/>
        </w:rPr>
        <w:t xml:space="preserve">Read-Through Relevance: </w:t>
      </w:r>
      <w:r>
        <w:rPr>
          <w:rFonts w:ascii="Calibri" w:hAnsi="Calibri"/>
          <w:color w:val="525866"/>
          <w:sz w:val="22"/>
        </w:rPr>
        <w:t>HIGH for XOM’s Energy Products (refining) segment — Valero is the largest independent U.S. refiner and provides the most granular read-through on U.S. refining margins, feedstock dynamics, and product demand.</w:t>
      </w:r>
    </w:p>
    <w:p>
      <w:pPr>
        <w:pStyle w:val="ListBullet"/>
        <w:ind w:left="360" w:hanging="360"/>
      </w:pPr>
      <w:r>
        <w:rPr>
          <w:rFonts w:ascii="Calibri" w:hAnsi="Calibri"/>
          <w:b/>
          <w:color w:val="525866"/>
          <w:sz w:val="22"/>
        </w:rPr>
        <w:t>Valero Q2 net income: $3.7B ($12.62/share); refining segment operating income: $4.5B (vs. $1.3B in Q2 2025).</w:t>
      </w:r>
      <w:r>
        <w:rPr>
          <w:rFonts w:ascii="Calibri" w:hAnsi="Calibri"/>
          <w:color w:val="525866"/>
          <w:sz w:val="22"/>
        </w:rPr>
        <w:t xml:space="preserve"> Refining throughput: 3M bbl/d; cash operating expenses: $4.70/bbl. </w:t>
      </w:r>
      <w:r>
        <w:rPr>
          <w:rFonts w:ascii="Calibri" w:hAnsi="Calibri"/>
          <w:color w:val="525866"/>
          <w:sz w:val="22"/>
        </w:rPr>
        <w:t>XOM read-through: Confirms the extraordinary refining margin environment; XOM’s Energy Products segment should show a similar step-change improvement.</w:t>
      </w:r>
    </w:p>
    <w:p>
      <w:pPr>
        <w:pStyle w:val="ListBullet"/>
        <w:ind w:left="360" w:hanging="360"/>
      </w:pPr>
      <w:r>
        <w:rPr>
          <w:rFonts w:ascii="Calibri" w:hAnsi="Calibri"/>
          <w:b/>
          <w:color w:val="525866"/>
          <w:sz w:val="22"/>
        </w:rPr>
        <w:t>~5M bbl/d of global refining capacity is currently offline (Middle East + Russia).</w:t>
      </w:r>
      <w:r>
        <w:rPr>
          <w:rFonts w:ascii="Calibri" w:hAnsi="Calibri"/>
          <w:color w:val="525866"/>
          <w:sz w:val="22"/>
        </w:rPr>
        <w:t xml:space="preserve"> Global light product inventories are ~130M bbl below normal for this time of year. Even if the conflict ended today, inventories would remain below the 5-year average range through 2027. </w:t>
      </w:r>
      <w:r>
        <w:rPr>
          <w:rFonts w:ascii="Calibri" w:hAnsi="Calibri"/>
          <w:color w:val="525866"/>
          <w:sz w:val="22"/>
        </w:rPr>
        <w:t>XOM read-through: Structural tightness in refining is not a one-quarter phenomenon; supports elevated margins into Q3 and beyond.</w:t>
      </w:r>
    </w:p>
    <w:p>
      <w:pPr>
        <w:pStyle w:val="ListBullet"/>
        <w:ind w:left="360" w:hanging="360"/>
      </w:pPr>
      <w:r>
        <w:rPr>
          <w:rFonts w:ascii="Calibri" w:hAnsi="Calibri"/>
          <w:b/>
          <w:color w:val="525866"/>
          <w:sz w:val="22"/>
        </w:rPr>
        <w:t>Russian refining capacity offline: ~1.7–1.9M bbl/d, with the trend worsening from May to July.</w:t>
      </w:r>
      <w:r>
        <w:rPr>
          <w:rFonts w:ascii="Calibri" w:hAnsi="Calibri"/>
          <w:color w:val="525866"/>
          <w:sz w:val="22"/>
        </w:rPr>
        <w:t xml:space="preserve"> Ukrainian drone attacks targeting critical equipment suggest a longer recovery period. </w:t>
      </w:r>
      <w:r>
        <w:rPr>
          <w:rFonts w:ascii="Calibri" w:hAnsi="Calibri"/>
          <w:color w:val="525866"/>
          <w:sz w:val="22"/>
        </w:rPr>
        <w:t>XOM read-through: Additional structural support for refining margins; XOM’s Gulf Coast refineries are well-positioned to capture this.</w:t>
      </w:r>
    </w:p>
    <w:p>
      <w:pPr>
        <w:pStyle w:val="ListBullet"/>
        <w:ind w:left="360" w:hanging="360"/>
      </w:pPr>
      <w:r>
        <w:rPr>
          <w:rFonts w:ascii="Calibri" w:hAnsi="Calibri"/>
          <w:b/>
          <w:color w:val="525866"/>
          <w:sz w:val="22"/>
        </w:rPr>
        <w:t>Q3 2026 refining outlook: Both margins and capture rates “look constructive relative to Q2.”</w:t>
      </w:r>
      <w:r>
        <w:rPr>
          <w:rFonts w:ascii="Calibri" w:hAnsi="Calibri"/>
          <w:color w:val="525866"/>
          <w:sz w:val="22"/>
        </w:rPr>
        <w:t xml:space="preserve"> Key tailwind: improvement in delivered crude costs vs. benchmarks. Naphtha at premium to Brent (vs. flat in Q2); propylene strengthened; sulfur strong. Jet fuel expected to strengthen as industry transitions to winter diesel specs. </w:t>
      </w:r>
      <w:r>
        <w:rPr>
          <w:rFonts w:ascii="Calibri" w:hAnsi="Calibri"/>
          <w:color w:val="525866"/>
          <w:sz w:val="22"/>
        </w:rPr>
        <w:t>XOM read-through: Q3 refining environment may be as good or better than Q2 for XOM’s integrated system.</w:t>
      </w:r>
    </w:p>
    <w:p>
      <w:pPr>
        <w:pStyle w:val="ListBullet"/>
        <w:ind w:left="360" w:hanging="360"/>
      </w:pPr>
      <w:r>
        <w:rPr>
          <w:rFonts w:ascii="Calibri" w:hAnsi="Calibri"/>
          <w:b/>
          <w:color w:val="525866"/>
          <w:sz w:val="22"/>
        </w:rPr>
        <w:t>Valero holds a “much more bullish view of future mid-cycle refining margins” than historical calculations.</w:t>
      </w:r>
      <w:r>
        <w:rPr>
          <w:rFonts w:ascii="Calibri" w:hAnsi="Calibri"/>
          <w:color w:val="525866"/>
          <w:sz w:val="22"/>
        </w:rPr>
        <w:t xml:space="preserve"> Crack spreads now set by higher-margin Northwest European refineries; hydro-skimming capacity faces rising carbon credit costs and inflationary OpEx/CapEx pressures. </w:t>
      </w:r>
      <w:r>
        <w:rPr>
          <w:rFonts w:ascii="Calibri" w:hAnsi="Calibri"/>
          <w:color w:val="525866"/>
          <w:sz w:val="22"/>
        </w:rPr>
        <w:t>XOM read-through: Supports a structurally higher refining earnings baseline for XOM’s Energy Products segment going forward.</w:t>
      </w:r>
    </w:p>
    <w:p>
      <w:pPr>
        <w:pStyle w:val="ListBullet"/>
        <w:ind w:left="360" w:hanging="360"/>
      </w:pPr>
      <w:r>
        <w:rPr>
          <w:rFonts w:ascii="Calibri" w:hAnsi="Calibri"/>
          <w:b/>
          <w:color w:val="525866"/>
          <w:sz w:val="22"/>
        </w:rPr>
        <w:t>Venezuelan heavy crude availability is strong and growing; Valero expects to process at record levels.</w:t>
      </w:r>
      <w:r>
        <w:rPr>
          <w:rFonts w:ascii="Calibri" w:hAnsi="Calibri"/>
          <w:color w:val="525866"/>
          <w:sz w:val="22"/>
        </w:rPr>
        <w:t xml:space="preserve"> Canadian crude prices rose in June due to weather/flooding, causing a pivot to Venezuelan crude. </w:t>
      </w:r>
      <w:r>
        <w:rPr>
          <w:rFonts w:ascii="Calibri" w:hAnsi="Calibri"/>
          <w:color w:val="525866"/>
          <w:sz w:val="22"/>
        </w:rPr>
        <w:t>XOM read-through: XOM is actively evaluating Venezuela re-entry; the crude availability dynamic is relevant to XOM’s feedstock optimization.</w:t>
      </w:r>
    </w:p>
    <w:p>
      <w:pPr>
        <w:pStyle w:val="Heading3"/>
      </w:pPr>
      <w:r>
        <w:rPr>
          <w:rFonts w:ascii="Calibri" w:hAnsi="Calibri"/>
          <w:b/>
          <w:color w:val="3B4259"/>
          <w:sz w:val="24"/>
        </w:rPr>
        <w:t>Chevron (CVX) — Q1 2026 Earnings Call (May 1, 2026) + JP Morgan Conference (June 23, 2026)</w:t>
      </w:r>
    </w:p>
    <w:p>
      <w:r>
        <w:rPr>
          <w:rFonts w:ascii="Calibri" w:hAnsi="Calibri"/>
          <w:b/>
          <w:color w:val="525866"/>
          <w:sz w:val="22"/>
        </w:rPr>
        <w:t xml:space="preserve">Read-Through Relevance: </w:t>
      </w:r>
      <w:r>
        <w:rPr>
          <w:rFonts w:ascii="Calibri" w:hAnsi="Calibri"/>
          <w:color w:val="525866"/>
          <w:sz w:val="22"/>
        </w:rPr>
        <w:t>MEDIUM-HIGH — CVX is XOM’s closest U.S. integrated peer. Q1 earnings commentary provides context on the Q2 setup; JP Morgan conference (June 23) provides more recent color on the macro and strategic outlook.</w:t>
      </w:r>
    </w:p>
    <w:p>
      <w:pPr>
        <w:pStyle w:val="ListBullet"/>
        <w:ind w:left="360" w:hanging="360"/>
      </w:pPr>
      <w:r>
        <w:rPr>
          <w:rFonts w:ascii="Calibri" w:hAnsi="Calibri"/>
          <w:b/>
          <w:color w:val="525866"/>
          <w:sz w:val="22"/>
        </w:rPr>
        <w:t>CVX Q1 2026: U.S. production over 2M boe/d; Permian solidly above 1M bbl/d; U.S. refineries at record crude throughput.</w:t>
      </w:r>
      <w:r>
        <w:rPr>
          <w:rFonts w:ascii="Calibri" w:hAnsi="Calibri"/>
          <w:color w:val="525866"/>
          <w:sz w:val="22"/>
        </w:rPr>
        <w:t xml:space="preserve"> Production in Q2 expected to be higher than Q1; reconfirmed 7–10% production growth guidance for FY 2026. </w:t>
      </w:r>
      <w:r>
        <w:rPr>
          <w:rFonts w:ascii="Calibri" w:hAnsi="Calibri"/>
          <w:color w:val="525866"/>
          <w:sz w:val="22"/>
        </w:rPr>
        <w:t>XOM read-through: Confirms the strong upstream production environment heading into Q2; XOM’s Permian and Guyana growth trajectory is differentiated.</w:t>
      </w:r>
    </w:p>
    <w:p>
      <w:pPr>
        <w:pStyle w:val="ListBullet"/>
        <w:ind w:left="360" w:hanging="360"/>
      </w:pPr>
      <w:r>
        <w:rPr>
          <w:rFonts w:ascii="Calibri" w:hAnsi="Calibri"/>
          <w:b/>
          <w:color w:val="525866"/>
          <w:sz w:val="22"/>
        </w:rPr>
        <w:t>CVX Q1 unfavorable timing effects: ~$3B for the quarter (vs. XOM’s ~$4–5B).</w:t>
      </w:r>
      <w:r>
        <w:rPr>
          <w:rFonts w:ascii="Calibri" w:hAnsi="Calibri"/>
          <w:color w:val="525866"/>
          <w:sz w:val="22"/>
        </w:rPr>
        <w:t xml:space="preserve"> CVX expects ~$1B to unwind in Q2 as cargoes are delivered. </w:t>
      </w:r>
      <w:r>
        <w:rPr>
          <w:rFonts w:ascii="Calibri" w:hAnsi="Calibri"/>
          <w:color w:val="525866"/>
          <w:sz w:val="22"/>
        </w:rPr>
        <w:t>XOM read-through: Confirms the timing effect reversal dynamic; XOM’s larger trading organization implies a larger reversal.</w:t>
      </w:r>
    </w:p>
    <w:p>
      <w:pPr>
        <w:pStyle w:val="ListBullet"/>
        <w:ind w:left="360" w:hanging="360"/>
      </w:pPr>
      <w:r>
        <w:rPr>
          <w:rFonts w:ascii="Calibri" w:hAnsi="Calibri"/>
          <w:b/>
          <w:color w:val="525866"/>
          <w:sz w:val="22"/>
        </w:rPr>
        <w:t>CVX Q2 refining: Global equity crude throughput expected to more than double YoY to 40%; Asia refineries at 80%+ utilization; U.S. at 50%+ equity crude throughput.</w:t>
      </w:r>
      <w:r>
        <w:rPr>
          <w:rFonts w:ascii="Calibri" w:hAnsi="Calibri"/>
          <w:color w:val="525866"/>
          <w:sz w:val="22"/>
        </w:rPr>
        <w:t xml:space="preserve"> </w:t>
      </w:r>
      <w:r>
        <w:rPr>
          <w:rFonts w:ascii="Calibri" w:hAnsi="Calibri"/>
          <w:color w:val="525866"/>
          <w:sz w:val="22"/>
        </w:rPr>
        <w:t>XOM read-through: Confirms the extraordinary refining integration opportunity in Q2; XOM’s Beaumont expansion and Gulf Coast network are similarly positioned.</w:t>
      </w:r>
    </w:p>
    <w:p>
      <w:pPr>
        <w:pStyle w:val="ListBullet"/>
        <w:ind w:left="360" w:hanging="360"/>
      </w:pPr>
      <w:r>
        <w:rPr>
          <w:rFonts w:ascii="Calibri" w:hAnsi="Calibri"/>
          <w:b/>
          <w:color w:val="525866"/>
          <w:sz w:val="22"/>
        </w:rPr>
        <w:t>CVX JP Morgan Conference (June 23): Announced 2.7GW Kilby power project in West Texas (Permian) with Microsoft on a 20-year PPA; targeting mid-teens returns; FID before year-end.</w:t>
      </w:r>
      <w:r>
        <w:rPr>
          <w:rFonts w:ascii="Calibri" w:hAnsi="Calibri"/>
          <w:color w:val="525866"/>
          <w:sz w:val="22"/>
        </w:rPr>
        <w:t xml:space="preserve"> CVX described AI/power demand as a “structural shift.” </w:t>
      </w:r>
      <w:r>
        <w:rPr>
          <w:rFonts w:ascii="Calibri" w:hAnsi="Calibri"/>
          <w:color w:val="525866"/>
          <w:sz w:val="22"/>
        </w:rPr>
        <w:t>XOM read-through: XOM is also pursuing data center/AI power opportunities (CCS, low-carbon solutions); CVX’s move validates the sector trend. XOM’s Permian gas is similarly well-positioned for behind-the-meter power.</w:t>
      </w:r>
    </w:p>
    <w:p>
      <w:pPr>
        <w:pStyle w:val="ListBullet"/>
        <w:ind w:left="360" w:hanging="360"/>
      </w:pPr>
      <w:r>
        <w:rPr>
          <w:rFonts w:ascii="Calibri" w:hAnsi="Calibri"/>
          <w:b/>
          <w:color w:val="525866"/>
          <w:sz w:val="22"/>
        </w:rPr>
        <w:t>CVX cost savings: $3–4B structural cost reduction target by year-end 2026; “never been more excited and confident in the outlook.”</w:t>
      </w:r>
      <w:r>
        <w:rPr>
          <w:rFonts w:ascii="Calibri" w:hAnsi="Calibri"/>
          <w:color w:val="525866"/>
          <w:sz w:val="22"/>
        </w:rPr>
        <w:t xml:space="preserve"> </w:t>
      </w:r>
      <w:r>
        <w:rPr>
          <w:rFonts w:ascii="Calibri" w:hAnsi="Calibri"/>
          <w:color w:val="525866"/>
          <w:sz w:val="22"/>
        </w:rPr>
        <w:t>XOM read-through: XOM’s $15B cumulative savings (targeting $20B by 2030) remain ahead of CVX’s pace; confirms sector-wide cost discipline.</w:t>
      </w:r>
    </w:p>
    <w:p>
      <w:pPr>
        <w:pStyle w:val="Heading3"/>
      </w:pPr>
      <w:r>
        <w:rPr>
          <w:rFonts w:ascii="Calibri" w:hAnsi="Calibri"/>
          <w:b/>
          <w:color w:val="3B4259"/>
          <w:sz w:val="24"/>
        </w:rPr>
        <w:t>EOG Resources (EOG) — JP Morgan Conference (June 23, 2026)</w:t>
      </w:r>
    </w:p>
    <w:p>
      <w:r>
        <w:rPr>
          <w:rFonts w:ascii="Calibri" w:hAnsi="Calibri"/>
          <w:b/>
          <w:color w:val="525866"/>
          <w:sz w:val="22"/>
        </w:rPr>
        <w:t xml:space="preserve">Read-Through Relevance: </w:t>
      </w:r>
      <w:r>
        <w:rPr>
          <w:rFonts w:ascii="Calibri" w:hAnsi="Calibri"/>
          <w:color w:val="525866"/>
          <w:sz w:val="22"/>
        </w:rPr>
        <w:t>MEDIUM — EOG is a leading Permian/unconventional E&amp;P peer. Commentary provides read-through on U.S. upstream production dynamics and the macro crude oil outlook.</w:t>
      </w:r>
    </w:p>
    <w:p>
      <w:pPr>
        <w:pStyle w:val="ListBullet"/>
        <w:ind w:left="360" w:hanging="360"/>
      </w:pPr>
      <w:r>
        <w:rPr>
          <w:rFonts w:ascii="Calibri" w:hAnsi="Calibri"/>
          <w:b/>
          <w:color w:val="525866"/>
          <w:sz w:val="22"/>
        </w:rPr>
        <w:t>EOG sees a WTI floor of ~$60 driven by SPR replacement demand over the next 3–4 years; average WTI expected ~$80 over the next couple of years.</w:t>
      </w:r>
      <w:r>
        <w:rPr>
          <w:rFonts w:ascii="Calibri" w:hAnsi="Calibri"/>
          <w:color w:val="525866"/>
          <w:sz w:val="22"/>
        </w:rPr>
        <w:t xml:space="preserve"> ~1.3–1.5 billion barrels of total capacity taken offline over the last four months. World inventories “extremely low.” </w:t>
      </w:r>
      <w:r>
        <w:rPr>
          <w:rFonts w:ascii="Calibri" w:hAnsi="Calibri"/>
          <w:color w:val="525866"/>
          <w:sz w:val="22"/>
        </w:rPr>
        <w:t>XOM read-through: Supports XOM management’s internal model of a potential sharp price spike; the $60 floor is consistent with XOM’s $35/bbl cost-of-supply discipline.</w:t>
      </w:r>
    </w:p>
    <w:p>
      <w:pPr>
        <w:pStyle w:val="ListBullet"/>
        <w:ind w:left="360" w:hanging="360"/>
      </w:pPr>
      <w:r>
        <w:rPr>
          <w:rFonts w:ascii="Calibri" w:hAnsi="Calibri"/>
          <w:b/>
          <w:color w:val="525866"/>
          <w:sz w:val="22"/>
        </w:rPr>
        <w:t>EOG expects demand displacement (not destruction) — barrels will be “very quickly soaked back up” when the Strait reopens.</w:t>
      </w:r>
      <w:r>
        <w:rPr>
          <w:rFonts w:ascii="Calibri" w:hAnsi="Calibri"/>
          <w:color w:val="525866"/>
          <w:sz w:val="22"/>
        </w:rPr>
        <w:t xml:space="preserve"> China expected to “pick right back up” to meet GDP targets. </w:t>
      </w:r>
      <w:r>
        <w:rPr>
          <w:rFonts w:ascii="Calibri" w:hAnsi="Calibri"/>
          <w:color w:val="525866"/>
          <w:sz w:val="22"/>
        </w:rPr>
        <w:t>XOM read-through: Supports the bull case for XOM’s upstream earnings durability; demand is not structurally impaired.</w:t>
      </w:r>
    </w:p>
    <w:p>
      <w:pPr>
        <w:pStyle w:val="ListBullet"/>
        <w:ind w:left="360" w:hanging="360"/>
      </w:pPr>
      <w:r>
        <w:rPr>
          <w:rFonts w:ascii="Calibri" w:hAnsi="Calibri"/>
          <w:b/>
          <w:color w:val="525866"/>
          <w:sz w:val="22"/>
        </w:rPr>
        <w:t>EOG Q1 2026: “Phenomenal start to the year” — over on volumes, under on cash costs, CapEx on track.</w:t>
      </w:r>
      <w:r>
        <w:rPr>
          <w:rFonts w:ascii="Calibri" w:hAnsi="Calibri"/>
          <w:color w:val="525866"/>
          <w:sz w:val="22"/>
        </w:rPr>
        <w:t xml:space="preserve"> Cash flows “went up immensely with the forward strip moving up.” </w:t>
      </w:r>
      <w:r>
        <w:rPr>
          <w:rFonts w:ascii="Calibri" w:hAnsi="Calibri"/>
          <w:color w:val="525866"/>
          <w:sz w:val="22"/>
        </w:rPr>
        <w:t>XOM read-through: Confirms the strong Q1 upstream execution environment; XOM’s Permian and Guyana assets should show similar trends.</w:t>
      </w:r>
    </w:p>
    <w:p>
      <w:pPr>
        <w:pStyle w:val="ListBullet"/>
        <w:ind w:left="360" w:hanging="360"/>
      </w:pPr>
      <w:r>
        <w:rPr>
          <w:rFonts w:ascii="Calibri" w:hAnsi="Calibri"/>
          <w:b/>
          <w:color w:val="525866"/>
          <w:sz w:val="22"/>
        </w:rPr>
        <w:t>Natural gas inventories at 5-year highs; Waha gas prices expected to turn positive by September/October.</w:t>
      </w:r>
      <w:r>
        <w:rPr>
          <w:rFonts w:ascii="Calibri" w:hAnsi="Calibri"/>
          <w:color w:val="525866"/>
          <w:sz w:val="22"/>
        </w:rPr>
        <w:t xml:space="preserve"> LNG expansion and AI/data center power demand are key demand drivers. </w:t>
      </w:r>
      <w:r>
        <w:rPr>
          <w:rFonts w:ascii="Calibri" w:hAnsi="Calibri"/>
          <w:color w:val="525866"/>
          <w:sz w:val="22"/>
        </w:rPr>
        <w:t>XOM read-through: Relevant to XOM’s Permian gas production and Golden Pass LNG; Waha normalization is a modest tailwind for XOM’s Permian gas realizations.</w:t>
      </w:r>
    </w:p>
    <w:p>
      <w:pPr>
        <w:pStyle w:val="Heading3"/>
      </w:pPr>
      <w:r>
        <w:rPr>
          <w:rFonts w:ascii="Calibri" w:hAnsi="Calibri"/>
          <w:b/>
          <w:color w:val="3B4259"/>
          <w:sz w:val="24"/>
        </w:rPr>
        <w:t>Phillips 66 (PSX) — JP Morgan Conference (June 23, 2026)</w:t>
      </w:r>
    </w:p>
    <w:p>
      <w:r>
        <w:rPr>
          <w:rFonts w:ascii="Calibri" w:hAnsi="Calibri"/>
          <w:b/>
          <w:color w:val="525866"/>
          <w:sz w:val="22"/>
        </w:rPr>
        <w:t xml:space="preserve">Read-Through Relevance: </w:t>
      </w:r>
      <w:r>
        <w:rPr>
          <w:rFonts w:ascii="Calibri" w:hAnsi="Calibri"/>
          <w:color w:val="525866"/>
          <w:sz w:val="22"/>
        </w:rPr>
        <w:t>MEDIUM for XOM’s refining segment — PSX is a major U.S. refiner/midstream company with commentary on refining margins, crude feedstock dynamics, and the macro refining outlook.</w:t>
      </w:r>
    </w:p>
    <w:p>
      <w:pPr>
        <w:pStyle w:val="ListBullet"/>
        <w:ind w:left="360" w:hanging="360"/>
      </w:pPr>
      <w:r>
        <w:rPr>
          <w:rFonts w:ascii="Calibri" w:hAnsi="Calibri"/>
          <w:b/>
          <w:color w:val="525866"/>
          <w:sz w:val="22"/>
        </w:rPr>
        <w:t>PSX macro outlook: “Pretty tenuous” — ~90–100M bbl trapped in the Strait expected to work out slowly; onshore tanks full; Cushing “at the bottoms.”</w:t>
      </w:r>
      <w:r>
        <w:rPr>
          <w:rFonts w:ascii="Calibri" w:hAnsi="Calibri"/>
          <w:color w:val="525866"/>
          <w:sz w:val="22"/>
        </w:rPr>
        <w:t xml:space="preserve"> Expects a “structural shift in what the crude floor is” as inventories need to be refilled. </w:t>
      </w:r>
      <w:r>
        <w:rPr>
          <w:rFonts w:ascii="Calibri" w:hAnsi="Calibri"/>
          <w:color w:val="525866"/>
          <w:sz w:val="22"/>
        </w:rPr>
        <w:t>XOM read-through: Confirms the tight crude inventory environment; supports XOM’s internal model of a potential sharp price spike.</w:t>
      </w:r>
    </w:p>
    <w:p>
      <w:pPr>
        <w:pStyle w:val="ListBullet"/>
        <w:ind w:left="360" w:hanging="360"/>
      </w:pPr>
      <w:r>
        <w:rPr>
          <w:rFonts w:ascii="Calibri" w:hAnsi="Calibri"/>
          <w:b/>
          <w:color w:val="525866"/>
          <w:sz w:val="22"/>
        </w:rPr>
        <w:t>Refining environment: “Tight refining capacity globally is a good setup for the refining complex.” Russian refining “taking significant hits.” China ramp-up uncertain but “very constructive for refining margins in the near to medium term.”</w:t>
      </w:r>
      <w:r>
        <w:rPr>
          <w:rFonts w:ascii="Calibri" w:hAnsi="Calibri"/>
          <w:color w:val="525866"/>
          <w:sz w:val="22"/>
        </w:rPr>
        <w:t xml:space="preserve"> </w:t>
      </w:r>
      <w:r>
        <w:rPr>
          <w:rFonts w:ascii="Calibri" w:hAnsi="Calibri"/>
          <w:color w:val="525866"/>
          <w:sz w:val="22"/>
        </w:rPr>
        <w:t>XOM read-through: Directly confirms the constructive Q2 refining environment for XOM’s Energy Products segment.</w:t>
      </w:r>
    </w:p>
    <w:p>
      <w:pPr>
        <w:pStyle w:val="ListBullet"/>
        <w:ind w:left="360" w:hanging="360"/>
      </w:pPr>
      <w:r>
        <w:rPr>
          <w:rFonts w:ascii="Calibri" w:hAnsi="Calibri"/>
          <w:b/>
          <w:color w:val="525866"/>
          <w:sz w:val="22"/>
        </w:rPr>
        <w:t>PSX Rodeo renewable fuels asset running “extraordinarily well” — above nameplate; renewable credit values significantly higher than 2025 levels.</w:t>
      </w:r>
      <w:r>
        <w:rPr>
          <w:rFonts w:ascii="Calibri" w:hAnsi="Calibri"/>
          <w:color w:val="525866"/>
          <w:sz w:val="22"/>
        </w:rPr>
        <w:t xml:space="preserve"> </w:t>
      </w:r>
      <w:r>
        <w:rPr>
          <w:rFonts w:ascii="Calibri" w:hAnsi="Calibri"/>
          <w:color w:val="525866"/>
          <w:sz w:val="22"/>
        </w:rPr>
        <w:t>XOM read-through: Relevant context for XOM’s Product Solutions segment and low-carbon strategy.</w:t>
      </w:r>
    </w:p>
    <w:p>
      <w:pPr>
        <w:pStyle w:val="ListBullet"/>
        <w:ind w:left="360" w:hanging="360"/>
      </w:pPr>
      <w:r>
        <w:rPr>
          <w:rFonts w:ascii="Calibri" w:hAnsi="Calibri"/>
          <w:b/>
          <w:color w:val="525866"/>
          <w:sz w:val="22"/>
        </w:rPr>
        <w:t>PSX midstream EBITDA target of $4.5B by year-end 2027 reaffirmed; Iron Mesa gas plant (300 MMcf/d) starting up later this year.</w:t>
      </w:r>
      <w:r>
        <w:rPr>
          <w:rFonts w:ascii="Calibri" w:hAnsi="Calibri"/>
          <w:color w:val="525866"/>
          <w:sz w:val="22"/>
        </w:rPr>
        <w:t xml:space="preserve"> </w:t>
      </w:r>
      <w:r>
        <w:rPr>
          <w:rFonts w:ascii="Calibri" w:hAnsi="Calibri"/>
          <w:color w:val="525866"/>
          <w:sz w:val="22"/>
        </w:rPr>
        <w:t>XOM read-through: Permian gas infrastructure build-out is accelerating; supports XOM’s Permian gas production growth.</w:t>
      </w:r>
    </w:p>
    <w:p>
      <w:pPr>
        <w:pStyle w:val="Heading3"/>
      </w:pPr>
      <w:r>
        <w:rPr>
          <w:rFonts w:ascii="Calibri" w:hAnsi="Calibri"/>
          <w:b/>
          <w:color w:val="3B4259"/>
          <w:sz w:val="24"/>
        </w:rPr>
        <w:t>Peer Read-Through Summary Table</w:t>
      </w:r>
    </w:p>
    <w:tbl>
      <w:tblPr>
        <w:tblStyle w:val="TableGrid"/>
        <w:tblW w:type="auto" w:w="0"/>
        <w:tblLook w:firstColumn="1" w:firstRow="1" w:lastColumn="0" w:lastRow="0" w:noHBand="0" w:noVBand="1" w:val="04A0"/>
      </w:tblPr>
      <w:tblGrid>
        <w:gridCol w:w="2160"/>
        <w:gridCol w:w="2160"/>
        <w:gridCol w:w="2160"/>
        <w:gridCol w:w="2160"/>
      </w:tblGrid>
      <w:tr>
        <w:tc>
          <w:tcPr>
            <w:tcW w:type="dxa" w:w="2160"/>
            <w:shd w:val="clear" w:color="auto" w:fill="3B4259"/>
          </w:tcPr>
          <w:p>
            <w:r>
              <w:rPr>
                <w:rFonts w:ascii="Calibri" w:hAnsi="Calibri"/>
                <w:b/>
                <w:color w:val="FFFFFF"/>
                <w:sz w:val="22"/>
              </w:rPr>
              <w:t>Peer</w:t>
            </w:r>
          </w:p>
        </w:tc>
        <w:tc>
          <w:tcPr>
            <w:tcW w:type="dxa" w:w="2160"/>
            <w:shd w:val="clear" w:color="auto" w:fill="3B4259"/>
          </w:tcPr>
          <w:p>
            <w:r>
              <w:rPr>
                <w:rFonts w:ascii="Calibri" w:hAnsi="Calibri"/>
                <w:b/>
                <w:color w:val="FFFFFF"/>
                <w:sz w:val="22"/>
              </w:rPr>
              <w:t>Source / Date</w:t>
            </w:r>
          </w:p>
        </w:tc>
        <w:tc>
          <w:tcPr>
            <w:tcW w:type="dxa" w:w="2160"/>
            <w:shd w:val="clear" w:color="auto" w:fill="3B4259"/>
          </w:tcPr>
          <w:p>
            <w:r>
              <w:rPr>
                <w:rFonts w:ascii="Calibri" w:hAnsi="Calibri"/>
                <w:b/>
                <w:color w:val="FFFFFF"/>
                <w:sz w:val="22"/>
              </w:rPr>
              <w:t>Key Signal for XOM Q2</w:t>
            </w:r>
          </w:p>
        </w:tc>
        <w:tc>
          <w:tcPr>
            <w:tcW w:type="dxa" w:w="2160"/>
            <w:shd w:val="clear" w:color="auto" w:fill="3B4259"/>
          </w:tcPr>
          <w:p>
            <w:r>
              <w:rPr>
                <w:rFonts w:ascii="Calibri" w:hAnsi="Calibri"/>
                <w:b/>
                <w:color w:val="FFFFFF"/>
                <w:sz w:val="22"/>
              </w:rPr>
              <w:t>Direction</w:t>
            </w:r>
          </w:p>
        </w:tc>
      </w:tr>
      <w:tr>
        <w:tc>
          <w:tcPr>
            <w:tcW w:type="dxa" w:w="2160"/>
          </w:tcPr>
          <w:p>
            <w:r>
              <w:rPr>
                <w:rFonts w:ascii="Calibri" w:hAnsi="Calibri"/>
                <w:sz w:val="22"/>
              </w:rPr>
              <w:t>TotalEnergies (TTE)</w:t>
            </w:r>
          </w:p>
        </w:tc>
        <w:tc>
          <w:tcPr>
            <w:tcW w:type="dxa" w:w="2160"/>
          </w:tcPr>
          <w:p>
            <w:r>
              <w:rPr>
                <w:rFonts w:ascii="Calibri" w:hAnsi="Calibri"/>
                <w:sz w:val="22"/>
              </w:rPr>
              <w:t>Q2 2026 Earnings, Jul 23</w:t>
            </w:r>
          </w:p>
        </w:tc>
        <w:tc>
          <w:tcPr>
            <w:tcW w:type="dxa" w:w="2160"/>
          </w:tcPr>
          <w:p>
            <w:r>
              <w:rPr>
                <w:rFonts w:ascii="Calibri" w:hAnsi="Calibri"/>
                <w:sz w:val="22"/>
              </w:rPr>
              <w:t>Brent $104/bbl avg; integrated margins ~$130/bbl; ~$10B company cash flow; LNG price +20% QoQ; crude/products trading overperformance $500M; Q3 refining margins $31/bbl in July</w:t>
            </w:r>
          </w:p>
        </w:tc>
        <w:tc>
          <w:tcPr>
            <w:tcW w:type="dxa" w:w="2160"/>
          </w:tcPr>
          <w:p>
            <w:r>
              <w:rPr>
                <w:rFonts w:ascii="Calibri" w:hAnsi="Calibri"/>
                <w:b/>
                <w:color w:val="30A46C"/>
                <w:sz w:val="22"/>
              </w:rPr>
              <w:t>Positive</w:t>
            </w:r>
          </w:p>
        </w:tc>
      </w:tr>
      <w:tr>
        <w:tc>
          <w:tcPr>
            <w:tcW w:type="dxa" w:w="2160"/>
          </w:tcPr>
          <w:p>
            <w:r>
              <w:rPr>
                <w:rFonts w:ascii="Calibri" w:hAnsi="Calibri"/>
                <w:sz w:val="22"/>
              </w:rPr>
              <w:t>Shell (SHEL)</w:t>
            </w:r>
          </w:p>
        </w:tc>
        <w:tc>
          <w:tcPr>
            <w:tcW w:type="dxa" w:w="2160"/>
          </w:tcPr>
          <w:p>
            <w:r>
              <w:rPr>
                <w:rFonts w:ascii="Calibri" w:hAnsi="Calibri"/>
                <w:sz w:val="22"/>
              </w:rPr>
              <w:t>Q2 2026 Earnings, Jul 30</w:t>
            </w:r>
          </w:p>
        </w:tc>
        <w:tc>
          <w:tcPr>
            <w:tcW w:type="dxa" w:w="2160"/>
          </w:tcPr>
          <w:p>
            <w:r>
              <w:rPr>
                <w:rFonts w:ascii="Calibri" w:hAnsi="Calibri"/>
                <w:sz w:val="22"/>
              </w:rPr>
              <w:t>Adj. earnings $9.8B; CFO $21B+; record 102% refinery utilization; chemicals best in 5+ years; LNG trading captured “significant additional value”; Q3 refining positive but chemical spreads softening</w:t>
            </w:r>
          </w:p>
        </w:tc>
        <w:tc>
          <w:tcPr>
            <w:tcW w:type="dxa" w:w="2160"/>
          </w:tcPr>
          <w:p>
            <w:r>
              <w:rPr>
                <w:rFonts w:ascii="Calibri" w:hAnsi="Calibri"/>
                <w:b/>
                <w:color w:val="30A46C"/>
                <w:sz w:val="22"/>
              </w:rPr>
              <w:t>Positive</w:t>
            </w:r>
          </w:p>
        </w:tc>
      </w:tr>
      <w:tr>
        <w:tc>
          <w:tcPr>
            <w:tcW w:type="dxa" w:w="2160"/>
          </w:tcPr>
          <w:p>
            <w:r>
              <w:rPr>
                <w:rFonts w:ascii="Calibri" w:hAnsi="Calibri"/>
                <w:sz w:val="22"/>
              </w:rPr>
              <w:t>Valero (VLO)</w:t>
            </w:r>
          </w:p>
        </w:tc>
        <w:tc>
          <w:tcPr>
            <w:tcW w:type="dxa" w:w="2160"/>
          </w:tcPr>
          <w:p>
            <w:r>
              <w:rPr>
                <w:rFonts w:ascii="Calibri" w:hAnsi="Calibri"/>
                <w:sz w:val="22"/>
              </w:rPr>
              <w:t>Q2 2026 Earnings, Jul 30</w:t>
            </w:r>
          </w:p>
        </w:tc>
        <w:tc>
          <w:tcPr>
            <w:tcW w:type="dxa" w:w="2160"/>
          </w:tcPr>
          <w:p>
            <w:r>
              <w:rPr>
                <w:rFonts w:ascii="Calibri" w:hAnsi="Calibri"/>
                <w:sz w:val="22"/>
              </w:rPr>
              <w:t>Net income $3.7B; refining segment $4.5B; 5M bbl/d global capacity offline; inventories 130M bbl below normal; Q3 margins/capture rates “constructive relative to Q2”; Russian capacity worsening</w:t>
            </w:r>
          </w:p>
        </w:tc>
        <w:tc>
          <w:tcPr>
            <w:tcW w:type="dxa" w:w="2160"/>
          </w:tcPr>
          <w:p>
            <w:r>
              <w:rPr>
                <w:rFonts w:ascii="Calibri" w:hAnsi="Calibri"/>
                <w:b/>
                <w:color w:val="30A46C"/>
                <w:sz w:val="22"/>
              </w:rPr>
              <w:t>Positive</w:t>
            </w:r>
          </w:p>
        </w:tc>
      </w:tr>
      <w:tr>
        <w:tc>
          <w:tcPr>
            <w:tcW w:type="dxa" w:w="2160"/>
          </w:tcPr>
          <w:p>
            <w:r>
              <w:rPr>
                <w:rFonts w:ascii="Calibri" w:hAnsi="Calibri"/>
                <w:sz w:val="22"/>
              </w:rPr>
              <w:t>Chevron (CVX)</w:t>
            </w:r>
          </w:p>
        </w:tc>
        <w:tc>
          <w:tcPr>
            <w:tcW w:type="dxa" w:w="2160"/>
          </w:tcPr>
          <w:p>
            <w:r>
              <w:rPr>
                <w:rFonts w:ascii="Calibri" w:hAnsi="Calibri"/>
                <w:sz w:val="22"/>
              </w:rPr>
              <w:t>Q1 Earnings May 1 + JPM Conf. Jun 23</w:t>
            </w:r>
          </w:p>
        </w:tc>
        <w:tc>
          <w:tcPr>
            <w:tcW w:type="dxa" w:w="2160"/>
          </w:tcPr>
          <w:p>
            <w:r>
              <w:rPr>
                <w:rFonts w:ascii="Calibri" w:hAnsi="Calibri"/>
                <w:sz w:val="22"/>
              </w:rPr>
              <w:t>Q2 production higher than Q1; $3B timing effect reversal; record U.S. refinery throughput; 2.7GW Permian power project with Microsoft (structural AI/power demand shift)</w:t>
            </w:r>
          </w:p>
        </w:tc>
        <w:tc>
          <w:tcPr>
            <w:tcW w:type="dxa" w:w="2160"/>
          </w:tcPr>
          <w:p>
            <w:r>
              <w:rPr>
                <w:rFonts w:ascii="Calibri" w:hAnsi="Calibri"/>
                <w:b/>
                <w:color w:val="30A46C"/>
                <w:sz w:val="22"/>
              </w:rPr>
              <w:t>Positive</w:t>
            </w:r>
          </w:p>
        </w:tc>
      </w:tr>
      <w:tr>
        <w:tc>
          <w:tcPr>
            <w:tcW w:type="dxa" w:w="2160"/>
          </w:tcPr>
          <w:p>
            <w:r>
              <w:rPr>
                <w:rFonts w:ascii="Calibri" w:hAnsi="Calibri"/>
                <w:sz w:val="22"/>
              </w:rPr>
              <w:t>EOG Resources (EOG)</w:t>
            </w:r>
          </w:p>
        </w:tc>
        <w:tc>
          <w:tcPr>
            <w:tcW w:type="dxa" w:w="2160"/>
          </w:tcPr>
          <w:p>
            <w:r>
              <w:rPr>
                <w:rFonts w:ascii="Calibri" w:hAnsi="Calibri"/>
                <w:sz w:val="22"/>
              </w:rPr>
              <w:t>JPM Conference, Jun 23</w:t>
            </w:r>
          </w:p>
        </w:tc>
        <w:tc>
          <w:tcPr>
            <w:tcW w:type="dxa" w:w="2160"/>
          </w:tcPr>
          <w:p>
            <w:r>
              <w:rPr>
                <w:rFonts w:ascii="Calibri" w:hAnsi="Calibri"/>
                <w:sz w:val="22"/>
              </w:rPr>
              <w:t>WTI floor ~$60; avg ~$80 over next 2 years; demand displacement not destruction; Q1 “phenomenal” — over on volumes, under on costs; Waha gas to turn positive Sep/Oct</w:t>
            </w:r>
          </w:p>
        </w:tc>
        <w:tc>
          <w:tcPr>
            <w:tcW w:type="dxa" w:w="2160"/>
          </w:tcPr>
          <w:p>
            <w:r>
              <w:rPr>
                <w:rFonts w:ascii="Calibri" w:hAnsi="Calibri"/>
                <w:b/>
                <w:color w:val="30A46C"/>
                <w:sz w:val="22"/>
              </w:rPr>
              <w:t>Positive</w:t>
            </w:r>
          </w:p>
        </w:tc>
      </w:tr>
      <w:tr>
        <w:tc>
          <w:tcPr>
            <w:tcW w:type="dxa" w:w="2160"/>
          </w:tcPr>
          <w:p>
            <w:r>
              <w:rPr>
                <w:rFonts w:ascii="Calibri" w:hAnsi="Calibri"/>
                <w:sz w:val="22"/>
              </w:rPr>
              <w:t>Phillips 66 (PSX)</w:t>
            </w:r>
          </w:p>
        </w:tc>
        <w:tc>
          <w:tcPr>
            <w:tcW w:type="dxa" w:w="2160"/>
          </w:tcPr>
          <w:p>
            <w:r>
              <w:rPr>
                <w:rFonts w:ascii="Calibri" w:hAnsi="Calibri"/>
                <w:sz w:val="22"/>
              </w:rPr>
              <w:t>JPM Conference, Jun 23</w:t>
            </w:r>
          </w:p>
        </w:tc>
        <w:tc>
          <w:tcPr>
            <w:tcW w:type="dxa" w:w="2160"/>
          </w:tcPr>
          <w:p>
            <w:r>
              <w:rPr>
                <w:rFonts w:ascii="Calibri" w:hAnsi="Calibri"/>
                <w:sz w:val="22"/>
              </w:rPr>
              <w:t>Refining capacity tight globally; Russian refining “taking significant hits”; Cushing tanks at bottoms; structural crude floor shift expected; constructive near-to-medium term refining margins</w:t>
            </w:r>
          </w:p>
        </w:tc>
        <w:tc>
          <w:tcPr>
            <w:tcW w:type="dxa" w:w="2160"/>
          </w:tcPr>
          <w:p>
            <w:r>
              <w:rPr>
                <w:rFonts w:ascii="Calibri" w:hAnsi="Calibri"/>
                <w:b/>
                <w:color w:val="30A46C"/>
                <w:sz w:val="22"/>
              </w:rPr>
              <w:t>Positive</w:t>
            </w:r>
          </w:p>
        </w:tc>
      </w:tr>
    </w:tbl>
    <w:p>
      <w:r>
        <w:br w:type="page"/>
      </w:r>
    </w:p>
    <w:p>
      <w:pPr>
        <w:pStyle w:val="Heading2"/>
      </w:pPr>
      <w:r>
        <w:rPr>
          <w:rFonts w:ascii="Calibri" w:hAnsi="Calibri"/>
          <w:b/>
          <w:color w:val="3B4259"/>
          <w:sz w:val="28"/>
        </w:rPr>
        <w:t>8. Insider Transaction Activity</w:t>
      </w:r>
    </w:p>
    <w:p>
      <w:r>
        <w:rPr>
          <w:rFonts w:ascii="Calibri" w:hAnsi="Calibri"/>
          <w:b/>
          <w:color w:val="525866"/>
          <w:sz w:val="22"/>
        </w:rPr>
        <w:t xml:space="preserve">Key Takeaway: </w:t>
      </w:r>
      <w:r>
        <w:rPr>
          <w:rFonts w:ascii="Calibri" w:hAnsi="Calibri"/>
          <w:color w:val="525866"/>
          <w:sz w:val="22"/>
        </w:rPr>
        <w:t>No meaningful open-market insider buying or selling by XOM executives or directors was identified in the period since Q1 2026 earnings (May 1, 2026). The only Form 4 filing identified was a disposition by ProPetro Holding Corp. (a 10% owner) of 16.6M shares on May 20, 2026 — this is an institutional/corporate disposition, not an executive insider transaction, and carries no directional signal for the earnings print.</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shd w:val="clear" w:color="auto" w:fill="3B4259"/>
          </w:tcPr>
          <w:p>
            <w:r>
              <w:rPr>
                <w:rFonts w:ascii="Calibri" w:hAnsi="Calibri"/>
                <w:b/>
                <w:color w:val="FFFFFF"/>
                <w:sz w:val="22"/>
              </w:rPr>
              <w:t>Name</w:t>
            </w:r>
          </w:p>
        </w:tc>
        <w:tc>
          <w:tcPr>
            <w:tcW w:type="dxa" w:w="1440"/>
            <w:shd w:val="clear" w:color="auto" w:fill="3B4259"/>
          </w:tcPr>
          <w:p>
            <w:r>
              <w:rPr>
                <w:rFonts w:ascii="Calibri" w:hAnsi="Calibri"/>
                <w:b/>
                <w:color w:val="FFFFFF"/>
                <w:sz w:val="22"/>
              </w:rPr>
              <w:t>Title</w:t>
            </w:r>
          </w:p>
        </w:tc>
        <w:tc>
          <w:tcPr>
            <w:tcW w:type="dxa" w:w="1440"/>
            <w:shd w:val="clear" w:color="auto" w:fill="3B4259"/>
          </w:tcPr>
          <w:p>
            <w:r>
              <w:rPr>
                <w:rFonts w:ascii="Calibri" w:hAnsi="Calibri"/>
                <w:b/>
                <w:color w:val="FFFFFF"/>
                <w:sz w:val="22"/>
              </w:rPr>
              <w:t>Transaction Type</w:t>
            </w:r>
          </w:p>
        </w:tc>
        <w:tc>
          <w:tcPr>
            <w:tcW w:type="dxa" w:w="1440"/>
            <w:shd w:val="clear" w:color="auto" w:fill="3B4259"/>
          </w:tcPr>
          <w:p>
            <w:r>
              <w:rPr>
                <w:rFonts w:ascii="Calibri" w:hAnsi="Calibri"/>
                <w:b/>
                <w:color w:val="FFFFFF"/>
                <w:sz w:val="22"/>
              </w:rPr>
              <w:t>Value</w:t>
            </w:r>
          </w:p>
        </w:tc>
        <w:tc>
          <w:tcPr>
            <w:tcW w:type="dxa" w:w="1440"/>
            <w:shd w:val="clear" w:color="auto" w:fill="3B4259"/>
          </w:tcPr>
          <w:p>
            <w:r>
              <w:rPr>
                <w:rFonts w:ascii="Calibri" w:hAnsi="Calibri"/>
                <w:b/>
                <w:color w:val="FFFFFF"/>
                <w:sz w:val="22"/>
              </w:rPr>
              <w:t>Date</w:t>
            </w:r>
          </w:p>
        </w:tc>
        <w:tc>
          <w:tcPr>
            <w:tcW w:type="dxa" w:w="1440"/>
            <w:shd w:val="clear" w:color="auto" w:fill="3B4259"/>
          </w:tcPr>
          <w:p>
            <w:r>
              <w:rPr>
                <w:rFonts w:ascii="Calibri" w:hAnsi="Calibri"/>
                <w:b/>
                <w:color w:val="FFFFFF"/>
                <w:sz w:val="22"/>
              </w:rPr>
              <w:t>Note</w:t>
            </w:r>
          </w:p>
        </w:tc>
      </w:tr>
      <w:tr>
        <w:tc>
          <w:tcPr>
            <w:tcW w:type="dxa" w:w="1440"/>
          </w:tcPr>
          <w:p>
            <w:r>
              <w:rPr>
                <w:rFonts w:ascii="Calibri" w:hAnsi="Calibri"/>
                <w:sz w:val="22"/>
              </w:rPr>
              <w:t>ProPetro Holding Corp.</w:t>
            </w:r>
          </w:p>
        </w:tc>
        <w:tc>
          <w:tcPr>
            <w:tcW w:type="dxa" w:w="1440"/>
          </w:tcPr>
          <w:p>
            <w:r>
              <w:rPr>
                <w:rFonts w:ascii="Calibri" w:hAnsi="Calibri"/>
                <w:sz w:val="22"/>
              </w:rPr>
              <w:t>10% Owner (Institutional)</w:t>
            </w:r>
          </w:p>
        </w:tc>
        <w:tc>
          <w:tcPr>
            <w:tcW w:type="dxa" w:w="1440"/>
          </w:tcPr>
          <w:p>
            <w:r>
              <w:rPr>
                <w:rFonts w:ascii="Calibri" w:hAnsi="Calibri"/>
                <w:sz w:val="22"/>
              </w:rPr>
              <w:t>Open Market Sale (Disposition)</w:t>
            </w:r>
          </w:p>
        </w:tc>
        <w:tc>
          <w:tcPr>
            <w:tcW w:type="dxa" w:w="1440"/>
          </w:tcPr>
          <w:p>
            <w:r>
              <w:rPr>
                <w:rFonts w:ascii="Calibri" w:hAnsi="Calibri"/>
                <w:sz w:val="22"/>
              </w:rPr>
              <w:t>~$16.6M (16,600,000 shares)</w:t>
            </w:r>
          </w:p>
        </w:tc>
        <w:tc>
          <w:tcPr>
            <w:tcW w:type="dxa" w:w="1440"/>
          </w:tcPr>
          <w:p>
            <w:r>
              <w:rPr>
                <w:rFonts w:ascii="Calibri" w:hAnsi="Calibri"/>
                <w:sz w:val="22"/>
              </w:rPr>
              <w:t>May 20, 2026</w:t>
            </w:r>
          </w:p>
        </w:tc>
        <w:tc>
          <w:tcPr>
            <w:tcW w:type="dxa" w:w="1440"/>
          </w:tcPr>
          <w:p>
            <w:r>
              <w:rPr>
                <w:rFonts w:ascii="Calibri" w:hAnsi="Calibri"/>
                <w:sz w:val="22"/>
              </w:rPr>
              <w:t>Institutional/corporate disposition; not an executive insider transaction; no directional signal</w:t>
            </w:r>
          </w:p>
        </w:tc>
      </w:tr>
    </w:tbl>
    <w:p>
      <w:r>
        <w:rPr>
          <w:rFonts w:ascii="Calibri" w:hAnsi="Calibri"/>
          <w:i/>
          <w:color w:val="525866"/>
          <w:sz w:val="22"/>
        </w:rPr>
        <w:t>Source: Insider Transaction Data (SEC Form 4 filings, May 1 – July 30, 2026).</w:t>
      </w:r>
    </w:p>
    <w:p>
      <w:r>
        <w:rPr>
          <w:rFonts w:ascii="Calibri" w:hAnsi="Calibri"/>
          <w:color w:val="525866"/>
          <w:sz w:val="22"/>
        </w:rPr>
        <w:t>No open-market buys or sells by XOM named executive officers (NEOs) or board directors were identified in the post-Q1 earnings window. The absence of insider selling by management is a neutral-to-slightly-positive signal — executives are not reducing exposure ahead of the print. The ProPetro disposition is an institutional transaction unrelated to XOM management’s view of the company.</w:t>
      </w:r>
    </w:p>
    <w:p>
      <w:r>
        <w:br w:type="page"/>
      </w:r>
    </w:p>
    <w:p>
      <w:pPr>
        <w:pStyle w:val="Heading2"/>
      </w:pPr>
      <w:r>
        <w:rPr>
          <w:rFonts w:ascii="Calibri" w:hAnsi="Calibri"/>
          <w:b/>
          <w:color w:val="3B4259"/>
          <w:sz w:val="28"/>
        </w:rPr>
        <w:t>Appendix: Data Sources &amp; Disclaimers</w:t>
      </w:r>
    </w:p>
    <w:p>
      <w:pPr>
        <w:pStyle w:val="ListBullet"/>
        <w:ind w:left="360" w:hanging="360"/>
      </w:pPr>
      <w:r>
        <w:rPr>
          <w:rFonts w:ascii="Calibri" w:hAnsi="Calibri"/>
          <w:b/>
          <w:color w:val="525866"/>
          <w:sz w:val="22"/>
        </w:rPr>
        <w:t>Visible Alpha Consensus and Actuals Data</w:t>
      </w:r>
      <w:r>
        <w:rPr>
          <w:rFonts w:ascii="Calibri" w:hAnsi="Calibri"/>
          <w:color w:val="525866"/>
          <w:sz w:val="22"/>
        </w:rPr>
        <w:t xml:space="preserve"> — All KPI consensus estimates and historical actuals. Consensus as of July 30, 2026 unless otherwise noted. Post-Q1 baseline as of May 6, 2026 (5 trading days post-earnings).</w:t>
      </w:r>
    </w:p>
    <w:p>
      <w:pPr>
        <w:pStyle w:val="ListBullet"/>
        <w:ind w:left="360" w:hanging="360"/>
      </w:pPr>
      <w:r>
        <w:rPr>
          <w:rFonts w:ascii="Calibri" w:hAnsi="Calibri"/>
          <w:b/>
          <w:color w:val="525866"/>
          <w:sz w:val="22"/>
        </w:rPr>
        <w:t>Stock Price Data (Yahoo Finance)</w:t>
      </w:r>
      <w:r>
        <w:rPr>
          <w:rFonts w:ascii="Calibri" w:hAnsi="Calibri"/>
          <w:color w:val="525866"/>
          <w:sz w:val="22"/>
        </w:rPr>
        <w:t xml:space="preserve"> — Daily closing prices for XOM and XLE from May 1 – July 30, 2026.</w:t>
      </w:r>
    </w:p>
    <w:p>
      <w:pPr>
        <w:pStyle w:val="ListBullet"/>
        <w:ind w:left="360" w:hanging="360"/>
      </w:pPr>
      <w:r>
        <w:rPr>
          <w:rFonts w:ascii="Calibri" w:hAnsi="Calibri"/>
          <w:b/>
          <w:color w:val="525866"/>
          <w:sz w:val="22"/>
        </w:rPr>
        <w:t>Insider Transaction Data (SEC Form 4)</w:t>
      </w:r>
      <w:r>
        <w:rPr>
          <w:rFonts w:ascii="Calibri" w:hAnsi="Calibri"/>
          <w:color w:val="525866"/>
          <w:sz w:val="22"/>
        </w:rPr>
        <w:t xml:space="preserve"> — Form 4 filings for XOM, May 1 – July 30, 2026.</w:t>
      </w:r>
    </w:p>
    <w:p>
      <w:pPr>
        <w:pStyle w:val="ListBullet"/>
        <w:ind w:left="360" w:hanging="360"/>
      </w:pPr>
      <w:r>
        <w:rPr>
          <w:rFonts w:ascii="Calibri" w:hAnsi="Calibri"/>
          <w:b/>
          <w:color w:val="525866"/>
          <w:sz w:val="22"/>
        </w:rPr>
        <w:t>Company Filings &amp; Transcripts</w:t>
      </w:r>
      <w:r>
        <w:rPr>
          <w:rFonts w:ascii="Calibri" w:hAnsi="Calibri"/>
          <w:color w:val="525866"/>
          <w:sz w:val="22"/>
        </w:rPr>
        <w:t xml:space="preserve"> — XOM Q1 2026 earnings call transcript (May 1, 2026); XOM 8-K filings; TotalEnergies Q2 2026 earnings call (July 23, 2026); Shell Q2 2026 earnings call (July 30, 2026); Valero Q2 2026 earnings call (July 30, 2026); Chevron Q1 2026 earnings call (May 1, 2026); Chevron, EOG, and PSX JP Morgan Natural Resources Conference transcripts (June 23, 2026).</w:t>
      </w:r>
    </w:p>
    <w:p>
      <w:pPr>
        <w:pStyle w:val="ListBullet"/>
        <w:ind w:left="360" w:hanging="360"/>
      </w:pPr>
      <w:r>
        <w:rPr>
          <w:rFonts w:ascii="Calibri" w:hAnsi="Calibri"/>
          <w:i/>
          <w:color w:val="525866"/>
          <w:sz w:val="22"/>
        </w:rPr>
        <w:t>This document is prepared for informational purposes only and does not constitute investment advice. All estimates and consensus figures are subject to change.</w:t>
      </w:r>
    </w:p>
    <w:sectPr w:rsidR="00FC693F" w:rsidRPr="0006063C" w:rsidSect="00034616">
      <w:headerReference w:type="default" r:id="rId10"/>
      <w:footerReference w:type="default" r:id="rId1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8640" w:val="right"/>
      </w:tabs>
      <w:spacing w:before="0" w:after="0" w:line="240" w:lineRule="auto"/>
      <w:jc w:val="left"/>
    </w:pPr>
    <w:r>
      <w:rPr>
        <w:rFonts w:ascii="Calibri" w:hAnsi="Calibri"/>
        <w:i/>
        <w:color w:val="525866"/>
        <w:sz w:val="20"/>
      </w:rPr>
      <w:t>We do the work, you make the call</w:t>
    </w:r>
    <w:r>
      <w:tab/>
    </w:r>
    <w:r>
      <w:rPr>
        <w:rFonts w:ascii="Calibri" w:hAnsi="Calibri"/>
        <w:i/>
        <w:color w:val="FB9120"/>
        <w:sz w:val="20"/>
      </w:rPr>
      <w:t>app.implied.com/trial</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8640" w:val="right"/>
      </w:tabs>
      <w:spacing w:before="0" w:after="0" w:line="240" w:lineRule="auto"/>
      <w:jc w:val="left"/>
    </w:pPr>
    <w:r>
      <w:drawing>
        <wp:inline xmlns:a="http://schemas.openxmlformats.org/drawingml/2006/main" xmlns:pic="http://schemas.openxmlformats.org/drawingml/2006/picture">
          <wp:extent cx="5486400" cy="274320"/>
          <wp:docPr id="1" name="Picture 1"/>
          <wp:cNvGraphicFramePr>
            <a:graphicFrameLocks noChangeAspect="1"/>
          </wp:cNvGraphicFramePr>
          <a:graphic>
            <a:graphicData uri="http://schemas.openxmlformats.org/drawingml/2006/picture">
              <pic:pic>
                <pic:nvPicPr>
                  <pic:cNvPr id="0" name="ImpliedPromotionalHeader.png"/>
                  <pic:cNvPicPr/>
                </pic:nvPicPr>
                <pic:blipFill>
                  <a:blip r:embed="rId1"/>
                  <a:stretch>
                    <a:fillRect/>
                  </a:stretch>
                </pic:blipFill>
                <pic:spPr>
                  <a:xfrm>
                    <a:off x="0" y="0"/>
                    <a:ext cx="5486400" cy="274320"/>
                  </a:xfrm>
                  <a:prstGeom prst="rec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Calibri" w:hAnsi="Calibri"/>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