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Bdr>
          <w:bottom w:val="single" w:sz="4" w:space="1" w:color="FB9120"/>
        </w:pBdr>
      </w:pPr>
      <w:r>
        <w:rPr>
          <w:rFonts w:ascii="Calibri" w:hAnsi="Calibri"/>
          <w:b/>
          <w:color w:val="3B4259"/>
          <w:sz w:val="40"/>
        </w:rPr>
        <w:t>ExxonMobil Corporation (XOM) — Q2 2026 Earnings Preview</w:t>
      </w:r>
    </w:p>
    <w:tbl>
      <w:tblPr>
        <w:tblStyle w:val="TableGrid"/>
        <w:tblW w:type="auto" w:w="0"/>
        <w:tblLook w:firstColumn="1" w:firstRow="1" w:lastColumn="0" w:lastRow="0" w:noHBand="0" w:noVBand="1" w:val="04A0"/>
      </w:tblPr>
      <w:tblGrid>
        <w:gridCol w:w="4320"/>
        <w:gridCol w:w="4320"/>
      </w:tblGrid>
      <w:tr>
        <w:tc>
          <w:tcPr>
            <w:tcW w:type="dxa" w:w="4320"/>
          </w:tcPr>
          <w:p>
            <w:r>
              <w:rPr>
                <w:rFonts w:ascii="Calibri" w:hAnsi="Calibri"/>
                <w:b/>
                <w:sz w:val="22"/>
              </w:rPr>
              <w:t>Company</w:t>
            </w:r>
          </w:p>
        </w:tc>
        <w:tc>
          <w:tcPr>
            <w:tcW w:type="dxa" w:w="4320"/>
          </w:tcPr>
          <w:p>
            <w:r>
              <w:rPr>
                <w:rFonts w:ascii="Calibri" w:hAnsi="Calibri"/>
                <w:sz w:val="22"/>
              </w:rPr>
              <w:t>ExxonMobil Corporation</w:t>
            </w:r>
          </w:p>
        </w:tc>
      </w:tr>
      <w:tr>
        <w:tc>
          <w:tcPr>
            <w:tcW w:type="dxa" w:w="4320"/>
          </w:tcPr>
          <w:p>
            <w:r>
              <w:rPr>
                <w:rFonts w:ascii="Calibri" w:hAnsi="Calibri"/>
                <w:b/>
                <w:sz w:val="22"/>
              </w:rPr>
              <w:t>Ticker</w:t>
            </w:r>
          </w:p>
        </w:tc>
        <w:tc>
          <w:tcPr>
            <w:tcW w:type="dxa" w:w="4320"/>
          </w:tcPr>
          <w:p>
            <w:r>
              <w:rPr>
                <w:rFonts w:ascii="Calibri" w:hAnsi="Calibri"/>
                <w:sz w:val="22"/>
              </w:rPr>
              <w:t>XOM (NYSE)</w:t>
            </w:r>
          </w:p>
        </w:tc>
      </w:tr>
      <w:tr>
        <w:tc>
          <w:tcPr>
            <w:tcW w:type="dxa" w:w="4320"/>
          </w:tcPr>
          <w:p>
            <w:r>
              <w:rPr>
                <w:rFonts w:ascii="Calibri" w:hAnsi="Calibri"/>
                <w:b/>
                <w:sz w:val="22"/>
              </w:rPr>
              <w:t>Reporting Period</w:t>
            </w:r>
          </w:p>
        </w:tc>
        <w:tc>
          <w:tcPr>
            <w:tcW w:type="dxa" w:w="4320"/>
          </w:tcPr>
          <w:p>
            <w:r>
              <w:rPr>
                <w:rFonts w:ascii="Calibri" w:hAnsi="Calibri"/>
                <w:sz w:val="22"/>
              </w:rPr>
              <w:t>Q2 2026 (quarter ended June 30, 2026)</w:t>
            </w:r>
          </w:p>
        </w:tc>
      </w:tr>
      <w:tr>
        <w:tc>
          <w:tcPr>
            <w:tcW w:type="dxa" w:w="4320"/>
          </w:tcPr>
          <w:p>
            <w:r>
              <w:rPr>
                <w:rFonts w:ascii="Calibri" w:hAnsi="Calibri"/>
                <w:b/>
                <w:sz w:val="22"/>
              </w:rPr>
              <w:t>Earnings Date</w:t>
            </w:r>
          </w:p>
        </w:tc>
        <w:tc>
          <w:tcPr>
            <w:tcW w:type="dxa" w:w="4320"/>
          </w:tcPr>
          <w:p>
            <w:r>
              <w:rPr>
                <w:rFonts w:ascii="Calibri" w:hAnsi="Calibri"/>
                <w:sz w:val="22"/>
              </w:rPr>
              <w:t>July 31, 2026 — 9:30 AM ET</w:t>
            </w:r>
          </w:p>
        </w:tc>
      </w:tr>
      <w:tr>
        <w:tc>
          <w:tcPr>
            <w:tcW w:type="dxa" w:w="4320"/>
          </w:tcPr>
          <w:p>
            <w:r>
              <w:rPr>
                <w:rFonts w:ascii="Calibri" w:hAnsi="Calibri"/>
                <w:b/>
                <w:sz w:val="22"/>
              </w:rPr>
              <w:t>Prepared</w:t>
            </w:r>
          </w:p>
        </w:tc>
        <w:tc>
          <w:tcPr>
            <w:tcW w:type="dxa" w:w="4320"/>
          </w:tcPr>
          <w:p>
            <w:r>
              <w:rPr>
                <w:rFonts w:ascii="Calibri" w:hAnsi="Calibri"/>
                <w:sz w:val="22"/>
              </w:rPr>
              <w:t>July 30, 2026</w:t>
            </w:r>
          </w:p>
        </w:tc>
      </w:tr>
      <w:tr>
        <w:tc>
          <w:tcPr>
            <w:tcW w:type="dxa" w:w="4320"/>
          </w:tcPr>
          <w:p>
            <w:r>
              <w:rPr>
                <w:rFonts w:ascii="Calibri" w:hAnsi="Calibri"/>
                <w:b/>
                <w:sz w:val="22"/>
              </w:rPr>
              <w:t>Last Earnings</w:t>
            </w:r>
          </w:p>
        </w:tc>
        <w:tc>
          <w:tcPr>
            <w:tcW w:type="dxa" w:w="4320"/>
          </w:tcPr>
          <w:p>
            <w:r>
              <w:rPr>
                <w:rFonts w:ascii="Calibri" w:hAnsi="Calibri"/>
                <w:sz w:val="22"/>
              </w:rPr>
              <w:t>May 1, 2026 (Q1 2026)</w:t>
            </w:r>
          </w:p>
        </w:tc>
      </w:tr>
      <w:tr>
        <w:tc>
          <w:tcPr>
            <w:tcW w:type="dxa" w:w="4320"/>
          </w:tcPr>
          <w:p>
            <w:r>
              <w:rPr>
                <w:rFonts w:ascii="Calibri" w:hAnsi="Calibri"/>
                <w:b/>
                <w:sz w:val="22"/>
              </w:rPr>
              <w:t>Sector ETF Benchmark</w:t>
            </w:r>
          </w:p>
        </w:tc>
        <w:tc>
          <w:tcPr>
            <w:tcW w:type="dxa" w:w="4320"/>
          </w:tcPr>
          <w:p>
            <w:r>
              <w:rPr>
                <w:rFonts w:ascii="Calibri" w:hAnsi="Calibri"/>
                <w:sz w:val="22"/>
              </w:rPr>
              <w:t>XLE (Energy Select Sector SPDR)</w:t>
            </w:r>
          </w:p>
        </w:tc>
      </w:tr>
    </w:tbl>
    <w:p>
      <w:r>
        <w:br w:type="page"/>
      </w:r>
    </w:p>
    <w:p>
      <w:pPr>
        <w:pStyle w:val="Heading1"/>
        <w:pBdr>
          <w:bottom w:val="single" w:sz="4" w:space="1" w:color="FB9120"/>
        </w:pBdr>
      </w:pPr>
      <w:r>
        <w:rPr>
          <w:rFonts w:ascii="Calibri" w:hAnsi="Calibri"/>
          <w:b/>
          <w:color w:val="3B4259"/>
          <w:sz w:val="40"/>
        </w:rPr>
        <w:t>1. Earnings Preview</w:t>
      </w:r>
    </w:p>
    <w:p>
      <w:r>
        <w:rPr>
          <w:rFonts w:ascii="Calibri" w:hAnsi="Calibri"/>
          <w:b/>
          <w:color w:val="525866"/>
          <w:sz w:val="22"/>
        </w:rPr>
        <w:t xml:space="preserve">Key Takeaway: </w:t>
      </w:r>
      <w:r>
        <w:rPr>
          <w:rFonts w:ascii="Calibri" w:hAnsi="Calibri"/>
          <w:color w:val="525866"/>
          <w:sz w:val="22"/>
        </w:rPr>
        <w:t xml:space="preserve">The setup is constructive but nuanced — </w:t>
      </w:r>
      <w:r>
        <w:rPr>
          <w:rFonts w:ascii="Calibri" w:hAnsi="Calibri"/>
          <w:b/>
          <w:color w:val="525866"/>
          <w:sz w:val="22"/>
        </w:rPr>
        <w:t>consensus EPS of ~$3.54 for Q2 2026 represents a massive step-up from Q1’s $2.09 underlying print</w:t>
      </w:r>
      <w:r>
        <w:rPr>
          <w:rFonts w:ascii="Calibri" w:hAnsi="Calibri"/>
          <w:color w:val="525866"/>
          <w:sz w:val="22"/>
        </w:rPr>
        <w:t>, driven by Brent averaging ~$104/bbl in Q2 vs. ~$81 in Q1, record-high refining margins, and strong trading performance; the key swing factor is whether timing effects and identified items — which distorted Q1 GAAP — reverse cleanly into Q2 as management guided.</w:t>
      </w:r>
    </w:p>
    <w:p>
      <w:r>
        <w:rPr>
          <w:rFonts w:ascii="Calibri" w:hAnsi="Calibri"/>
          <w:color w:val="525866"/>
          <w:sz w:val="22"/>
        </w:rPr>
        <w:t xml:space="preserve">Heading into the Q2 2026 print, the bar is high in absolute terms but arguably achievable given the commodity tailwind: Brent averaged approximately $104/bbl in Q2 (up ~$23/bbl or &gt;25% quarter-over-quarter per TotalEnergies’ Q2 call), refining margins reached historic levels across integrated peers, and XOM’s trading organization — which generated large negative timing effects in Q1 — should see those effects reverse in a period of elevated and volatile prices. </w:t>
      </w:r>
      <w:r>
        <w:rPr>
          <w:rFonts w:ascii="Calibri" w:hAnsi="Calibri"/>
          <w:b/>
          <w:color w:val="525866"/>
          <w:sz w:val="22"/>
        </w:rPr>
        <w:t>Management’s tone on the Q1 call was assertive and directional</w:t>
      </w:r>
      <w:r>
        <w:rPr>
          <w:rFonts w:ascii="Calibri" w:hAnsi="Calibri"/>
          <w:color w:val="525866"/>
          <w:sz w:val="22"/>
        </w:rPr>
        <w:t xml:space="preserve">: Permian on track for 1.8 MMboe/d full-year, Golden Pass Train 1 producing, Guyana record output, and LNG markets tightening structurally due to the Strait of Hormuz closure and Qatar LNG damage. Estimate revisions have moved sharply higher since Q1 — the Q2 2026 consensus EPS of $3.54 compares to a $3.57 baseline set just after the Q1 print, suggesting the street has largely priced in the commodity uplift with minimal additional cushion. </w:t>
      </w:r>
      <w:r>
        <w:rPr>
          <w:rFonts w:ascii="Calibri" w:hAnsi="Calibri"/>
          <w:b/>
          <w:color w:val="525866"/>
          <w:sz w:val="22"/>
        </w:rPr>
        <w:t>The stock has underperformed XLE and SPY since the May 1 earnings date</w:t>
      </w:r>
      <w:r>
        <w:rPr>
          <w:rFonts w:ascii="Calibri" w:hAnsi="Calibri"/>
          <w:color w:val="525866"/>
          <w:sz w:val="22"/>
        </w:rPr>
        <w:t xml:space="preserve"> (XOM -10.5% vs. XLE -9.7% vs. SPY +2.9% through late June before recovering sharply in July), implying the market was skeptical of the GAAP noise in Q1 but has since re-rated as the commodity environment strengthened. The single biggest wildcard is the trajectory of the Strait of Hormuz conflict: if the Strait remains closed or re-closes (as TotalEnergies noted it did around July 9), crude and refining margins stay elevated and XOM’s integrated model captures outsized upside; if a ceasefire materializes, the commodity tailwind reverses and timing effects could again distort the headline.</w:t>
      </w:r>
    </w:p>
    <w:p>
      <w:r>
        <w:br w:type="page"/>
      </w:r>
    </w:p>
    <w:p>
      <w:pPr>
        <w:pStyle w:val="Heading1"/>
        <w:pBdr>
          <w:bottom w:val="single" w:sz="4" w:space="1" w:color="FB9120"/>
        </w:pBdr>
      </w:pPr>
      <w:r>
        <w:rPr>
          <w:rFonts w:ascii="Calibri" w:hAnsi="Calibri"/>
          <w:b/>
          <w:color w:val="3B4259"/>
          <w:sz w:val="40"/>
        </w:rPr>
        <w:t>2. KPIs &amp; Consensus Expectations</w:t>
      </w:r>
    </w:p>
    <w:p>
      <w:r>
        <w:rPr>
          <w:rFonts w:ascii="Calibri" w:hAnsi="Calibri"/>
          <w:b/>
          <w:color w:val="525866"/>
          <w:sz w:val="22"/>
        </w:rPr>
        <w:t xml:space="preserve">Key Takeaway: </w:t>
      </w:r>
      <w:r>
        <w:rPr>
          <w:rFonts w:ascii="Calibri" w:hAnsi="Calibri"/>
          <w:color w:val="525866"/>
          <w:sz w:val="22"/>
        </w:rPr>
        <w:t xml:space="preserve">Consensus sets a high absolute bar — </w:t>
      </w:r>
      <w:r>
        <w:rPr>
          <w:rFonts w:ascii="Calibri" w:hAnsi="Calibri"/>
          <w:b/>
          <w:color w:val="525866"/>
          <w:sz w:val="22"/>
        </w:rPr>
        <w:t>Q2 2026 EPS of ~$3.54 is the highest quarterly estimate in over a year</w:t>
      </w:r>
      <w:r>
        <w:rPr>
          <w:rFonts w:ascii="Calibri" w:hAnsi="Calibri"/>
          <w:color w:val="525866"/>
          <w:sz w:val="22"/>
        </w:rPr>
        <w:t xml:space="preserve"> — but the commodity environment (Brent ~$104/bbl, record refining margins) makes it achievable; production volumes at ~4.25 MMboe/d are the bigger swing factor given Middle East disruptions and the timing of Guyana/Permian ramp.</w:t>
      </w:r>
    </w:p>
    <w:p>
      <w:pPr>
        <w:pStyle w:val="Heading2"/>
      </w:pPr>
      <w:r>
        <w:rPr>
          <w:rFonts w:ascii="Calibri" w:hAnsi="Calibri"/>
          <w:b/>
          <w:color w:val="3B4259"/>
          <w:sz w:val="28"/>
        </w:rPr>
        <w:t>Table 1 — Q2 2026 Current Quarter Snapshot (All Key KPIs)</w:t>
      </w:r>
    </w:p>
    <w:tbl>
      <w:tblPr>
        <w:tblStyle w:val="TableGrid"/>
        <w:tblW w:type="auto" w:w="0"/>
        <w:tblLook w:firstColumn="1" w:firstRow="1" w:lastColumn="0" w:lastRow="0" w:noHBand="0" w:noVBand="1" w:val="04A0"/>
      </w:tblPr>
      <w:tblGrid>
        <w:gridCol w:w="1234"/>
        <w:gridCol w:w="1234"/>
        <w:gridCol w:w="1234"/>
        <w:gridCol w:w="1234"/>
        <w:gridCol w:w="1234"/>
        <w:gridCol w:w="1234"/>
        <w:gridCol w:w="1234"/>
      </w:tblGrid>
      <w:tr>
        <w:tc>
          <w:tcPr>
            <w:tcW w:type="dxa" w:w="1234"/>
            <w:shd w:val="clear" w:color="auto" w:fill="3B4259"/>
          </w:tcPr>
          <w:p>
            <w:r>
              <w:rPr>
                <w:rFonts w:ascii="Calibri" w:hAnsi="Calibri"/>
                <w:b/>
                <w:color w:val="FFFFFF"/>
                <w:sz w:val="22"/>
              </w:rPr>
              <w:t>KPI</w:t>
            </w:r>
          </w:p>
        </w:tc>
        <w:tc>
          <w:tcPr>
            <w:tcW w:type="dxa" w:w="1234"/>
            <w:shd w:val="clear" w:color="auto" w:fill="3B4259"/>
          </w:tcPr>
          <w:p>
            <w:r>
              <w:rPr>
                <w:rFonts w:ascii="Calibri" w:hAnsi="Calibri"/>
                <w:b/>
                <w:color w:val="FFFFFF"/>
                <w:sz w:val="22"/>
              </w:rPr>
              <w:t>Q1 2026 Actual (Last Quarter)</w:t>
            </w:r>
          </w:p>
        </w:tc>
        <w:tc>
          <w:tcPr>
            <w:tcW w:type="dxa" w:w="1234"/>
            <w:shd w:val="clear" w:color="auto" w:fill="3B4259"/>
          </w:tcPr>
          <w:p>
            <w:r>
              <w:rPr>
                <w:rFonts w:ascii="Calibri" w:hAnsi="Calibri"/>
                <w:b/>
                <w:color w:val="FFFFFF"/>
                <w:sz w:val="22"/>
              </w:rPr>
              <w:t>Q2 2025 Actual (Prior Year)</w:t>
            </w:r>
          </w:p>
        </w:tc>
        <w:tc>
          <w:tcPr>
            <w:tcW w:type="dxa" w:w="1234"/>
            <w:shd w:val="clear" w:color="auto" w:fill="3B4259"/>
          </w:tcPr>
          <w:p>
            <w:r>
              <w:rPr>
                <w:rFonts w:ascii="Calibri" w:hAnsi="Calibri"/>
                <w:b/>
                <w:color w:val="FFFFFF"/>
                <w:sz w:val="22"/>
              </w:rPr>
              <w:t>Q2 2026 Consensus Estimate</w:t>
            </w:r>
          </w:p>
        </w:tc>
        <w:tc>
          <w:tcPr>
            <w:tcW w:type="dxa" w:w="1234"/>
            <w:shd w:val="clear" w:color="auto" w:fill="3B4259"/>
          </w:tcPr>
          <w:p>
            <w:r>
              <w:rPr>
                <w:rFonts w:ascii="Calibri" w:hAnsi="Calibri"/>
                <w:b/>
                <w:color w:val="FFFFFF"/>
                <w:sz w:val="22"/>
              </w:rPr>
              <w:t>YoY Change</w:t>
            </w:r>
          </w:p>
        </w:tc>
        <w:tc>
          <w:tcPr>
            <w:tcW w:type="dxa" w:w="1234"/>
            <w:shd w:val="clear" w:color="auto" w:fill="3B4259"/>
          </w:tcPr>
          <w:p>
            <w:r>
              <w:rPr>
                <w:rFonts w:ascii="Calibri" w:hAnsi="Calibri"/>
                <w:b/>
                <w:color w:val="FFFFFF"/>
                <w:sz w:val="22"/>
              </w:rPr>
              <w:t>Guidance (Q1 Call)</w:t>
            </w:r>
          </w:p>
        </w:tc>
        <w:tc>
          <w:tcPr>
            <w:tcW w:type="dxa" w:w="1234"/>
            <w:shd w:val="clear" w:color="auto" w:fill="3B4259"/>
          </w:tcPr>
          <w:p>
            <w:r>
              <w:rPr>
                <w:rFonts w:ascii="Calibri" w:hAnsi="Calibri"/>
                <w:b/>
                <w:color w:val="FFFFFF"/>
                <w:sz w:val="22"/>
              </w:rPr>
              <w:t>Consensus vs. Guidance</w:t>
            </w:r>
          </w:p>
        </w:tc>
      </w:tr>
      <w:tr>
        <w:tc>
          <w:tcPr>
            <w:tcW w:type="dxa" w:w="1234"/>
          </w:tcPr>
          <w:p>
            <w:r>
              <w:rPr>
                <w:rFonts w:ascii="Calibri" w:hAnsi="Calibri"/>
                <w:sz w:val="22"/>
              </w:rPr>
              <w:t>EPS — Diluted Operating ($/share)</w:t>
            </w:r>
          </w:p>
        </w:tc>
        <w:tc>
          <w:tcPr>
            <w:tcW w:type="dxa" w:w="1234"/>
          </w:tcPr>
          <w:p>
            <w:r>
              <w:rPr>
                <w:rFonts w:ascii="Calibri" w:hAnsi="Calibri"/>
                <w:sz w:val="22"/>
              </w:rPr>
              <w:t>$2.09</w:t>
            </w:r>
          </w:p>
        </w:tc>
        <w:tc>
          <w:tcPr>
            <w:tcW w:type="dxa" w:w="1234"/>
          </w:tcPr>
          <w:p>
            <w:r>
              <w:rPr>
                <w:rFonts w:ascii="Calibri" w:hAnsi="Calibri"/>
                <w:sz w:val="22"/>
              </w:rPr>
              <w:t>$1.64</w:t>
            </w:r>
          </w:p>
        </w:tc>
        <w:tc>
          <w:tcPr>
            <w:tcW w:type="dxa" w:w="1234"/>
          </w:tcPr>
          <w:p>
            <w:r>
              <w:rPr>
                <w:rFonts w:ascii="Calibri" w:hAnsi="Calibri"/>
                <w:b/>
                <w:sz w:val="22"/>
              </w:rPr>
              <w:t>$3.54</w:t>
            </w:r>
          </w:p>
        </w:tc>
        <w:tc>
          <w:tcPr>
            <w:tcW w:type="dxa" w:w="1234"/>
          </w:tcPr>
          <w:p>
            <w:r>
              <w:rPr>
                <w:rFonts w:ascii="Calibri" w:hAnsi="Calibri"/>
                <w:b/>
                <w:color w:val="30A46C"/>
                <w:sz w:val="22"/>
              </w:rPr>
              <w:t>+$1.90 / +116%</w:t>
            </w:r>
          </w:p>
        </w:tc>
        <w:tc>
          <w:tcPr>
            <w:tcW w:type="dxa" w:w="1234"/>
          </w:tcPr>
          <w:p>
            <w:r>
              <w:rPr>
                <w:rFonts w:ascii="Calibri" w:hAnsi="Calibri"/>
                <w:sz w:val="22"/>
              </w:rPr>
              <w:t>No explicit quarterly EPS guide; FY2026 implied ~$10.95</w:t>
            </w:r>
          </w:p>
        </w:tc>
        <w:tc>
          <w:tcPr>
            <w:tcW w:type="dxa" w:w="1234"/>
          </w:tcPr>
          <w:p>
            <w:r>
              <w:rPr>
                <w:rFonts w:ascii="Calibri" w:hAnsi="Calibri"/>
                <w:sz w:val="22"/>
              </w:rPr>
              <w:t>~$3.54 vs. ~$2.74 implied quarterly avg; above run-rate</w:t>
            </w:r>
          </w:p>
        </w:tc>
      </w:tr>
      <w:tr>
        <w:tc>
          <w:tcPr>
            <w:tcW w:type="dxa" w:w="1234"/>
          </w:tcPr>
          <w:p>
            <w:r>
              <w:rPr>
                <w:rFonts w:ascii="Calibri" w:hAnsi="Calibri"/>
                <w:sz w:val="22"/>
              </w:rPr>
              <w:t>Total Production (Mboe/d)</w:t>
            </w:r>
          </w:p>
        </w:tc>
        <w:tc>
          <w:tcPr>
            <w:tcW w:type="dxa" w:w="1234"/>
          </w:tcPr>
          <w:p>
            <w:r>
              <w:rPr>
                <w:rFonts w:ascii="Calibri" w:hAnsi="Calibri"/>
                <w:sz w:val="22"/>
              </w:rPr>
              <w:t>4,594 Mboe/d</w:t>
            </w:r>
          </w:p>
        </w:tc>
        <w:tc>
          <w:tcPr>
            <w:tcW w:type="dxa" w:w="1234"/>
          </w:tcPr>
          <w:p>
            <w:r>
              <w:rPr>
                <w:rFonts w:ascii="Calibri" w:hAnsi="Calibri"/>
                <w:sz w:val="22"/>
              </w:rPr>
              <w:t>4,629 Mboe/d</w:t>
            </w:r>
          </w:p>
        </w:tc>
        <w:tc>
          <w:tcPr>
            <w:tcW w:type="dxa" w:w="1234"/>
          </w:tcPr>
          <w:p>
            <w:r>
              <w:rPr>
                <w:rFonts w:ascii="Calibri" w:hAnsi="Calibri"/>
                <w:sz w:val="22"/>
              </w:rPr>
              <w:t>4,254 Mboe/d</w:t>
            </w:r>
          </w:p>
        </w:tc>
        <w:tc>
          <w:tcPr>
            <w:tcW w:type="dxa" w:w="1234"/>
          </w:tcPr>
          <w:p>
            <w:r>
              <w:rPr>
                <w:rFonts w:ascii="Calibri" w:hAnsi="Calibri"/>
                <w:b/>
                <w:color w:val="E5484D"/>
                <w:sz w:val="22"/>
              </w:rPr>
              <w:t>-375 Mboe/d / -8.1%</w:t>
            </w:r>
          </w:p>
        </w:tc>
        <w:tc>
          <w:tcPr>
            <w:tcW w:type="dxa" w:w="1234"/>
          </w:tcPr>
          <w:p>
            <w:r>
              <w:rPr>
                <w:rFonts w:ascii="Calibri" w:hAnsi="Calibri"/>
                <w:sz w:val="22"/>
              </w:rPr>
              <w:t>Permian FY2026 target: 1.8 MMboe/d; Middle East disruptions ongoing</w:t>
            </w:r>
          </w:p>
        </w:tc>
        <w:tc>
          <w:tcPr>
            <w:tcW w:type="dxa" w:w="1234"/>
          </w:tcPr>
          <w:p>
            <w:r>
              <w:rPr>
                <w:rFonts w:ascii="Calibri" w:hAnsi="Calibri"/>
                <w:sz w:val="22"/>
              </w:rPr>
              <w:t>Consensus below Q1 actual; reflects Middle East shut-ins</w:t>
            </w:r>
          </w:p>
        </w:tc>
      </w:tr>
      <w:tr>
        <w:tc>
          <w:tcPr>
            <w:tcW w:type="dxa" w:w="1234"/>
          </w:tcPr>
          <w:p>
            <w:r>
              <w:rPr>
                <w:rFonts w:ascii="Calibri" w:hAnsi="Calibri"/>
                <w:sz w:val="22"/>
              </w:rPr>
              <w:t>Free Cash Flow ($B)</w:t>
            </w:r>
          </w:p>
        </w:tc>
        <w:tc>
          <w:tcPr>
            <w:tcW w:type="dxa" w:w="1234"/>
          </w:tcPr>
          <w:p>
            <w:r>
              <w:rPr>
                <w:rFonts w:ascii="Calibri" w:hAnsi="Calibri"/>
                <w:sz w:val="22"/>
              </w:rPr>
              <w:t>$2.24B</w:t>
            </w:r>
          </w:p>
        </w:tc>
        <w:tc>
          <w:tcPr>
            <w:tcW w:type="dxa" w:w="1234"/>
          </w:tcPr>
          <w:p>
            <w:r>
              <w:rPr>
                <w:rFonts w:ascii="Calibri" w:hAnsi="Calibri"/>
                <w:sz w:val="22"/>
              </w:rPr>
              <w:t>$5.27B</w:t>
            </w:r>
          </w:p>
        </w:tc>
        <w:tc>
          <w:tcPr>
            <w:tcW w:type="dxa" w:w="1234"/>
          </w:tcPr>
          <w:p>
            <w:r>
              <w:rPr>
                <w:rFonts w:ascii="Calibri" w:hAnsi="Calibri"/>
                <w:sz w:val="22"/>
              </w:rPr>
              <w:t>$14.66B</w:t>
            </w:r>
          </w:p>
        </w:tc>
        <w:tc>
          <w:tcPr>
            <w:tcW w:type="dxa" w:w="1234"/>
          </w:tcPr>
          <w:p>
            <w:r>
              <w:rPr>
                <w:rFonts w:ascii="Calibri" w:hAnsi="Calibri"/>
                <w:b/>
                <w:color w:val="30A46C"/>
                <w:sz w:val="22"/>
              </w:rPr>
              <w:t>+$9.39B / +178%</w:t>
            </w:r>
          </w:p>
        </w:tc>
        <w:tc>
          <w:tcPr>
            <w:tcW w:type="dxa" w:w="1234"/>
          </w:tcPr>
          <w:p>
            <w:r>
              <w:rPr>
                <w:rFonts w:ascii="Calibri" w:hAnsi="Calibri"/>
                <w:sz w:val="22"/>
              </w:rPr>
              <w:t>No explicit quarterly FCF guide; FY2026 consensus ~$44.8B</w:t>
            </w:r>
          </w:p>
        </w:tc>
        <w:tc>
          <w:tcPr>
            <w:tcW w:type="dxa" w:w="1234"/>
          </w:tcPr>
          <w:p>
            <w:r>
              <w:rPr>
                <w:rFonts w:ascii="Calibri" w:hAnsi="Calibri"/>
                <w:sz w:val="22"/>
              </w:rPr>
              <w:t>N/A — no quarterly FCF guidance provided</w:t>
            </w:r>
          </w:p>
        </w:tc>
      </w:tr>
      <w:tr>
        <w:tc>
          <w:tcPr>
            <w:tcW w:type="dxa" w:w="1234"/>
          </w:tcPr>
          <w:p>
            <w:r>
              <w:rPr>
                <w:rFonts w:ascii="Calibri" w:hAnsi="Calibri"/>
                <w:sz w:val="22"/>
              </w:rPr>
              <w:t>Capital &amp; Exploration Expenditures ($B)</w:t>
            </w:r>
          </w:p>
        </w:tc>
        <w:tc>
          <w:tcPr>
            <w:tcW w:type="dxa" w:w="1234"/>
          </w:tcPr>
          <w:p>
            <w:r>
              <w:rPr>
                <w:rFonts w:ascii="Calibri" w:hAnsi="Calibri"/>
                <w:sz w:val="22"/>
              </w:rPr>
              <w:t>$6.19B</w:t>
            </w:r>
          </w:p>
        </w:tc>
        <w:tc>
          <w:tcPr>
            <w:tcW w:type="dxa" w:w="1234"/>
          </w:tcPr>
          <w:p>
            <w:r>
              <w:rPr>
                <w:rFonts w:ascii="Calibri" w:hAnsi="Calibri"/>
                <w:sz w:val="22"/>
              </w:rPr>
              <w:t>$6.33B</w:t>
            </w:r>
          </w:p>
        </w:tc>
        <w:tc>
          <w:tcPr>
            <w:tcW w:type="dxa" w:w="1234"/>
          </w:tcPr>
          <w:p>
            <w:r>
              <w:rPr>
                <w:rFonts w:ascii="Calibri" w:hAnsi="Calibri"/>
                <w:sz w:val="22"/>
              </w:rPr>
              <w:t>$7.09B</w:t>
            </w:r>
          </w:p>
        </w:tc>
        <w:tc>
          <w:tcPr>
            <w:tcW w:type="dxa" w:w="1234"/>
          </w:tcPr>
          <w:p>
            <w:r>
              <w:rPr>
                <w:rFonts w:ascii="Calibri" w:hAnsi="Calibri"/>
                <w:b/>
                <w:color w:val="E5484D"/>
                <w:sz w:val="22"/>
              </w:rPr>
              <w:t>+$0.76B / +12.0%</w:t>
            </w:r>
          </w:p>
        </w:tc>
        <w:tc>
          <w:tcPr>
            <w:tcW w:type="dxa" w:w="1234"/>
          </w:tcPr>
          <w:p>
            <w:r>
              <w:rPr>
                <w:rFonts w:ascii="Calibri" w:hAnsi="Calibri"/>
                <w:sz w:val="22"/>
              </w:rPr>
              <w:t>FY2026 CapEx guidance: ~$28.2B consensus; no quarterly split given</w:t>
            </w:r>
          </w:p>
        </w:tc>
        <w:tc>
          <w:tcPr>
            <w:tcW w:type="dxa" w:w="1234"/>
          </w:tcPr>
          <w:p>
            <w:r>
              <w:rPr>
                <w:rFonts w:ascii="Calibri" w:hAnsi="Calibri"/>
                <w:sz w:val="22"/>
              </w:rPr>
              <w:t>N/A — no quarterly CapEx guidance provided</w:t>
            </w:r>
          </w:p>
        </w:tc>
      </w:tr>
    </w:tbl>
    <w:p>
      <w:r>
        <w:rPr>
          <w:rFonts w:ascii="Calibri" w:hAnsi="Calibri"/>
          <w:b/>
          <w:color w:val="525866"/>
          <w:sz w:val="22"/>
        </w:rPr>
        <w:t xml:space="preserve">Sources: </w:t>
      </w:r>
      <w:r>
        <w:rPr>
          <w:rFonts w:ascii="Calibri" w:hAnsi="Calibri"/>
          <w:color w:val="525866"/>
          <w:sz w:val="22"/>
        </w:rPr>
        <w:t>Visible Alpha Consensus and Actuals Data (EPS — Diluted — Operating: https://insights.visiblealpha.com/mex/XOM/NMV/IS; Total worldwide liquids and gas production/day: https://insights.visiblealpha.com/mex/XOM/NMV/KV; Free cash flow: https://insights.visiblealpha.com/mex/XOM/NMV/CF; Capital and exploration expenditures: https://insights.visiblealpha.com/mex/XOM/NMV/Cpn). Q1 2026 earnings call transcript (May 1, 2026).</w:t>
      </w:r>
    </w:p>
    <w:p>
      <w:pPr>
        <w:pStyle w:val="Heading2"/>
      </w:pPr>
      <w:r>
        <w:rPr>
          <w:rFonts w:ascii="Calibri" w:hAnsi="Calibri"/>
          <w:b/>
          <w:color w:val="3B4259"/>
          <w:sz w:val="28"/>
        </w:rPr>
        <w:t>Table 2 — Beat / Miss History: Last 8 Quarters (Top 2 KPIs)</w:t>
      </w:r>
    </w:p>
    <w:p>
      <w:pPr>
        <w:pStyle w:val="Heading3"/>
      </w:pPr>
      <w:r>
        <w:rPr>
          <w:rFonts w:ascii="Calibri" w:hAnsi="Calibri"/>
          <w:b/>
          <w:color w:val="3B4259"/>
          <w:sz w:val="24"/>
        </w:rPr>
        <w:t>Panel A: EPS — Diluted Operating ($/share)</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Quarter</w:t>
            </w:r>
          </w:p>
        </w:tc>
        <w:tc>
          <w:tcPr>
            <w:tcW w:type="dxa" w:w="1728"/>
            <w:shd w:val="clear" w:color="auto" w:fill="3B4259"/>
          </w:tcPr>
          <w:p>
            <w:r>
              <w:rPr>
                <w:rFonts w:ascii="Calibri" w:hAnsi="Calibri"/>
                <w:b/>
                <w:color w:val="FFFFFF"/>
                <w:sz w:val="22"/>
              </w:rPr>
              <w:t>Reported</w:t>
            </w:r>
          </w:p>
        </w:tc>
        <w:tc>
          <w:tcPr>
            <w:tcW w:type="dxa" w:w="1728"/>
            <w:shd w:val="clear" w:color="auto" w:fill="3B4259"/>
          </w:tcPr>
          <w:p>
            <w:r>
              <w:rPr>
                <w:rFonts w:ascii="Calibri" w:hAnsi="Calibri"/>
                <w:b/>
                <w:color w:val="FFFFFF"/>
                <w:sz w:val="22"/>
              </w:rPr>
              <w:t>Consensus</w:t>
            </w:r>
          </w:p>
        </w:tc>
        <w:tc>
          <w:tcPr>
            <w:tcW w:type="dxa" w:w="1728"/>
            <w:shd w:val="clear" w:color="auto" w:fill="3B4259"/>
          </w:tcPr>
          <w:p>
            <w:r>
              <w:rPr>
                <w:rFonts w:ascii="Calibri" w:hAnsi="Calibri"/>
                <w:b/>
                <w:color w:val="FFFFFF"/>
                <w:sz w:val="22"/>
              </w:rPr>
              <w:t>Surprise %</w:t>
            </w:r>
          </w:p>
        </w:tc>
        <w:tc>
          <w:tcPr>
            <w:tcW w:type="dxa" w:w="1728"/>
            <w:shd w:val="clear" w:color="auto" w:fill="3B4259"/>
          </w:tcPr>
          <w:p>
            <w:r>
              <w:rPr>
                <w:rFonts w:ascii="Calibri" w:hAnsi="Calibri"/>
                <w:b/>
                <w:color w:val="FFFFFF"/>
                <w:sz w:val="22"/>
              </w:rPr>
              <w:t>Result</w:t>
            </w:r>
          </w:p>
        </w:tc>
      </w:tr>
      <w:tr>
        <w:tc>
          <w:tcPr>
            <w:tcW w:type="dxa" w:w="1728"/>
          </w:tcPr>
          <w:p>
            <w:r>
              <w:rPr>
                <w:rFonts w:ascii="Calibri" w:hAnsi="Calibri"/>
                <w:sz w:val="22"/>
              </w:rPr>
              <w:t>Q2 2024</w:t>
            </w:r>
          </w:p>
        </w:tc>
        <w:tc>
          <w:tcPr>
            <w:tcW w:type="dxa" w:w="1728"/>
          </w:tcPr>
          <w:p>
            <w:r>
              <w:rPr>
                <w:rFonts w:ascii="Calibri" w:hAnsi="Calibri"/>
                <w:sz w:val="22"/>
              </w:rPr>
              <w:t>$2.14</w:t>
            </w:r>
          </w:p>
        </w:tc>
        <w:tc>
          <w:tcPr>
            <w:tcW w:type="dxa" w:w="1728"/>
          </w:tcPr>
          <w:p>
            <w:r>
              <w:rPr>
                <w:rFonts w:ascii="Calibri" w:hAnsi="Calibri"/>
                <w:sz w:val="22"/>
              </w:rPr>
              <w:t>$2.05</w:t>
            </w:r>
          </w:p>
        </w:tc>
        <w:tc>
          <w:tcPr>
            <w:tcW w:type="dxa" w:w="1728"/>
          </w:tcPr>
          <w:p>
            <w:r>
              <w:rPr>
                <w:rFonts w:ascii="Calibri" w:hAnsi="Calibri"/>
                <w:sz w:val="22"/>
              </w:rPr>
              <w:t>+4.6%</w:t>
            </w:r>
          </w:p>
        </w:tc>
        <w:tc>
          <w:tcPr>
            <w:tcW w:type="dxa" w:w="1728"/>
          </w:tcPr>
          <w:p>
            <w:r>
              <w:rPr>
                <w:rFonts w:ascii="Calibri" w:hAnsi="Calibri"/>
                <w:b/>
                <w:color w:val="30A46C"/>
                <w:sz w:val="22"/>
              </w:rPr>
              <w:t>BEAT</w:t>
            </w:r>
          </w:p>
        </w:tc>
      </w:tr>
      <w:tr>
        <w:tc>
          <w:tcPr>
            <w:tcW w:type="dxa" w:w="1728"/>
          </w:tcPr>
          <w:p>
            <w:r>
              <w:rPr>
                <w:rFonts w:ascii="Calibri" w:hAnsi="Calibri"/>
                <w:sz w:val="22"/>
              </w:rPr>
              <w:t>Q3 2024</w:t>
            </w:r>
          </w:p>
        </w:tc>
        <w:tc>
          <w:tcPr>
            <w:tcW w:type="dxa" w:w="1728"/>
          </w:tcPr>
          <w:p>
            <w:r>
              <w:rPr>
                <w:rFonts w:ascii="Calibri" w:hAnsi="Calibri"/>
                <w:sz w:val="22"/>
              </w:rPr>
              <w:t>$1.92</w:t>
            </w:r>
          </w:p>
        </w:tc>
        <w:tc>
          <w:tcPr>
            <w:tcW w:type="dxa" w:w="1728"/>
          </w:tcPr>
          <w:p>
            <w:r>
              <w:rPr>
                <w:rFonts w:ascii="Calibri" w:hAnsi="Calibri"/>
                <w:sz w:val="22"/>
              </w:rPr>
              <w:t>$1.87</w:t>
            </w:r>
          </w:p>
        </w:tc>
        <w:tc>
          <w:tcPr>
            <w:tcW w:type="dxa" w:w="1728"/>
          </w:tcPr>
          <w:p>
            <w:r>
              <w:rPr>
                <w:rFonts w:ascii="Calibri" w:hAnsi="Calibri"/>
                <w:sz w:val="22"/>
              </w:rPr>
              <w:t>+2.7%</w:t>
            </w:r>
          </w:p>
        </w:tc>
        <w:tc>
          <w:tcPr>
            <w:tcW w:type="dxa" w:w="1728"/>
          </w:tcPr>
          <w:p>
            <w:r>
              <w:rPr>
                <w:rFonts w:ascii="Calibri" w:hAnsi="Calibri"/>
                <w:b/>
                <w:color w:val="30A46C"/>
                <w:sz w:val="22"/>
              </w:rPr>
              <w:t>BEAT</w:t>
            </w:r>
          </w:p>
        </w:tc>
      </w:tr>
      <w:tr>
        <w:tc>
          <w:tcPr>
            <w:tcW w:type="dxa" w:w="1728"/>
          </w:tcPr>
          <w:p>
            <w:r>
              <w:rPr>
                <w:rFonts w:ascii="Calibri" w:hAnsi="Calibri"/>
                <w:sz w:val="22"/>
              </w:rPr>
              <w:t>Q4 2024</w:t>
            </w:r>
          </w:p>
        </w:tc>
        <w:tc>
          <w:tcPr>
            <w:tcW w:type="dxa" w:w="1728"/>
          </w:tcPr>
          <w:p>
            <w:r>
              <w:rPr>
                <w:rFonts w:ascii="Calibri" w:hAnsi="Calibri"/>
                <w:sz w:val="22"/>
              </w:rPr>
              <w:t>$1.68</w:t>
            </w:r>
          </w:p>
        </w:tc>
        <w:tc>
          <w:tcPr>
            <w:tcW w:type="dxa" w:w="1728"/>
          </w:tcPr>
          <w:p>
            <w:r>
              <w:rPr>
                <w:rFonts w:ascii="Calibri" w:hAnsi="Calibri"/>
                <w:sz w:val="22"/>
              </w:rPr>
              <w:t>$1.58</w:t>
            </w:r>
          </w:p>
        </w:tc>
        <w:tc>
          <w:tcPr>
            <w:tcW w:type="dxa" w:w="1728"/>
          </w:tcPr>
          <w:p>
            <w:r>
              <w:rPr>
                <w:rFonts w:ascii="Calibri" w:hAnsi="Calibri"/>
                <w:sz w:val="22"/>
              </w:rPr>
              <w:t>+6.3%</w:t>
            </w:r>
          </w:p>
        </w:tc>
        <w:tc>
          <w:tcPr>
            <w:tcW w:type="dxa" w:w="1728"/>
          </w:tcPr>
          <w:p>
            <w:r>
              <w:rPr>
                <w:rFonts w:ascii="Calibri" w:hAnsi="Calibri"/>
                <w:b/>
                <w:color w:val="30A46C"/>
                <w:sz w:val="22"/>
              </w:rPr>
              <w:t>BEAT</w:t>
            </w:r>
          </w:p>
        </w:tc>
      </w:tr>
      <w:tr>
        <w:tc>
          <w:tcPr>
            <w:tcW w:type="dxa" w:w="1728"/>
          </w:tcPr>
          <w:p>
            <w:r>
              <w:rPr>
                <w:rFonts w:ascii="Calibri" w:hAnsi="Calibri"/>
                <w:sz w:val="22"/>
              </w:rPr>
              <w:t>Q1 2025</w:t>
            </w:r>
          </w:p>
        </w:tc>
        <w:tc>
          <w:tcPr>
            <w:tcW w:type="dxa" w:w="1728"/>
          </w:tcPr>
          <w:p>
            <w:r>
              <w:rPr>
                <w:rFonts w:ascii="Calibri" w:hAnsi="Calibri"/>
                <w:sz w:val="22"/>
              </w:rPr>
              <w:t>$1.76</w:t>
            </w:r>
          </w:p>
        </w:tc>
        <w:tc>
          <w:tcPr>
            <w:tcW w:type="dxa" w:w="1728"/>
          </w:tcPr>
          <w:p>
            <w:r>
              <w:rPr>
                <w:rFonts w:ascii="Calibri" w:hAnsi="Calibri"/>
                <w:sz w:val="22"/>
              </w:rPr>
              <w:t>$1.75</w:t>
            </w:r>
          </w:p>
        </w:tc>
        <w:tc>
          <w:tcPr>
            <w:tcW w:type="dxa" w:w="1728"/>
          </w:tcPr>
          <w:p>
            <w:r>
              <w:rPr>
                <w:rFonts w:ascii="Calibri" w:hAnsi="Calibri"/>
                <w:sz w:val="22"/>
              </w:rPr>
              <w:t>+0.6%</w:t>
            </w:r>
          </w:p>
        </w:tc>
        <w:tc>
          <w:tcPr>
            <w:tcW w:type="dxa" w:w="1728"/>
          </w:tcPr>
          <w:p>
            <w:r>
              <w:rPr>
                <w:rFonts w:ascii="Calibri" w:hAnsi="Calibri"/>
                <w:b/>
                <w:color w:val="30A46C"/>
                <w:sz w:val="22"/>
              </w:rPr>
              <w:t>BEAT</w:t>
            </w:r>
          </w:p>
        </w:tc>
      </w:tr>
      <w:tr>
        <w:tc>
          <w:tcPr>
            <w:tcW w:type="dxa" w:w="1728"/>
          </w:tcPr>
          <w:p>
            <w:r>
              <w:rPr>
                <w:rFonts w:ascii="Calibri" w:hAnsi="Calibri"/>
                <w:sz w:val="22"/>
              </w:rPr>
              <w:t>Q2 2025</w:t>
            </w:r>
          </w:p>
        </w:tc>
        <w:tc>
          <w:tcPr>
            <w:tcW w:type="dxa" w:w="1728"/>
          </w:tcPr>
          <w:p>
            <w:r>
              <w:rPr>
                <w:rFonts w:ascii="Calibri" w:hAnsi="Calibri"/>
                <w:sz w:val="22"/>
              </w:rPr>
              <w:t>$1.64</w:t>
            </w:r>
          </w:p>
        </w:tc>
        <w:tc>
          <w:tcPr>
            <w:tcW w:type="dxa" w:w="1728"/>
          </w:tcPr>
          <w:p>
            <w:r>
              <w:rPr>
                <w:rFonts w:ascii="Calibri" w:hAnsi="Calibri"/>
                <w:sz w:val="22"/>
              </w:rPr>
              <w:t>$1.54</w:t>
            </w:r>
          </w:p>
        </w:tc>
        <w:tc>
          <w:tcPr>
            <w:tcW w:type="dxa" w:w="1728"/>
          </w:tcPr>
          <w:p>
            <w:r>
              <w:rPr>
                <w:rFonts w:ascii="Calibri" w:hAnsi="Calibri"/>
                <w:sz w:val="22"/>
              </w:rPr>
              <w:t>+6.5%</w:t>
            </w:r>
          </w:p>
        </w:tc>
        <w:tc>
          <w:tcPr>
            <w:tcW w:type="dxa" w:w="1728"/>
          </w:tcPr>
          <w:p>
            <w:r>
              <w:rPr>
                <w:rFonts w:ascii="Calibri" w:hAnsi="Calibri"/>
                <w:b/>
                <w:color w:val="30A46C"/>
                <w:sz w:val="22"/>
              </w:rPr>
              <w:t>BEAT</w:t>
            </w:r>
          </w:p>
        </w:tc>
      </w:tr>
      <w:tr>
        <w:tc>
          <w:tcPr>
            <w:tcW w:type="dxa" w:w="1728"/>
          </w:tcPr>
          <w:p>
            <w:r>
              <w:rPr>
                <w:rFonts w:ascii="Calibri" w:hAnsi="Calibri"/>
                <w:sz w:val="22"/>
              </w:rPr>
              <w:t>Q3 2025</w:t>
            </w:r>
          </w:p>
        </w:tc>
        <w:tc>
          <w:tcPr>
            <w:tcW w:type="dxa" w:w="1728"/>
          </w:tcPr>
          <w:p>
            <w:r>
              <w:rPr>
                <w:rFonts w:ascii="Calibri" w:hAnsi="Calibri"/>
                <w:sz w:val="22"/>
              </w:rPr>
              <w:t>$1.88</w:t>
            </w:r>
          </w:p>
        </w:tc>
        <w:tc>
          <w:tcPr>
            <w:tcW w:type="dxa" w:w="1728"/>
          </w:tcPr>
          <w:p>
            <w:r>
              <w:rPr>
                <w:rFonts w:ascii="Calibri" w:hAnsi="Calibri"/>
                <w:sz w:val="22"/>
              </w:rPr>
              <w:t>$1.81</w:t>
            </w:r>
          </w:p>
        </w:tc>
        <w:tc>
          <w:tcPr>
            <w:tcW w:type="dxa" w:w="1728"/>
          </w:tcPr>
          <w:p>
            <w:r>
              <w:rPr>
                <w:rFonts w:ascii="Calibri" w:hAnsi="Calibri"/>
                <w:sz w:val="22"/>
              </w:rPr>
              <w:t>+3.9%</w:t>
            </w:r>
          </w:p>
        </w:tc>
        <w:tc>
          <w:tcPr>
            <w:tcW w:type="dxa" w:w="1728"/>
          </w:tcPr>
          <w:p>
            <w:r>
              <w:rPr>
                <w:rFonts w:ascii="Calibri" w:hAnsi="Calibri"/>
                <w:b/>
                <w:color w:val="30A46C"/>
                <w:sz w:val="22"/>
              </w:rPr>
              <w:t>BEAT</w:t>
            </w:r>
          </w:p>
        </w:tc>
      </w:tr>
      <w:tr>
        <w:tc>
          <w:tcPr>
            <w:tcW w:type="dxa" w:w="1728"/>
          </w:tcPr>
          <w:p>
            <w:r>
              <w:rPr>
                <w:rFonts w:ascii="Calibri" w:hAnsi="Calibri"/>
                <w:sz w:val="22"/>
              </w:rPr>
              <w:t>Q4 2025</w:t>
            </w:r>
          </w:p>
        </w:tc>
        <w:tc>
          <w:tcPr>
            <w:tcW w:type="dxa" w:w="1728"/>
          </w:tcPr>
          <w:p>
            <w:r>
              <w:rPr>
                <w:rFonts w:ascii="Calibri" w:hAnsi="Calibri"/>
                <w:sz w:val="22"/>
              </w:rPr>
              <w:t>$1.71</w:t>
            </w:r>
          </w:p>
        </w:tc>
        <w:tc>
          <w:tcPr>
            <w:tcW w:type="dxa" w:w="1728"/>
          </w:tcPr>
          <w:p>
            <w:r>
              <w:rPr>
                <w:rFonts w:ascii="Calibri" w:hAnsi="Calibri"/>
                <w:sz w:val="22"/>
              </w:rPr>
              <w:t>$1.70</w:t>
            </w:r>
          </w:p>
        </w:tc>
        <w:tc>
          <w:tcPr>
            <w:tcW w:type="dxa" w:w="1728"/>
          </w:tcPr>
          <w:p>
            <w:r>
              <w:rPr>
                <w:rFonts w:ascii="Calibri" w:hAnsi="Calibri"/>
                <w:sz w:val="22"/>
              </w:rPr>
              <w:t>+0.6%</w:t>
            </w:r>
          </w:p>
        </w:tc>
        <w:tc>
          <w:tcPr>
            <w:tcW w:type="dxa" w:w="1728"/>
          </w:tcPr>
          <w:p>
            <w:r>
              <w:rPr>
                <w:rFonts w:ascii="Calibri" w:hAnsi="Calibri"/>
                <w:b/>
                <w:color w:val="30A46C"/>
                <w:sz w:val="22"/>
              </w:rPr>
              <w:t>BEAT</w:t>
            </w:r>
          </w:p>
        </w:tc>
      </w:tr>
      <w:tr>
        <w:tc>
          <w:tcPr>
            <w:tcW w:type="dxa" w:w="1728"/>
          </w:tcPr>
          <w:p>
            <w:r>
              <w:rPr>
                <w:rFonts w:ascii="Calibri" w:hAnsi="Calibri"/>
                <w:sz w:val="22"/>
              </w:rPr>
              <w:t>Q1 2026</w:t>
            </w:r>
          </w:p>
        </w:tc>
        <w:tc>
          <w:tcPr>
            <w:tcW w:type="dxa" w:w="1728"/>
          </w:tcPr>
          <w:p>
            <w:r>
              <w:rPr>
                <w:rFonts w:ascii="Calibri" w:hAnsi="Calibri"/>
                <w:sz w:val="22"/>
              </w:rPr>
              <w:t>$2.09</w:t>
            </w:r>
          </w:p>
        </w:tc>
        <w:tc>
          <w:tcPr>
            <w:tcW w:type="dxa" w:w="1728"/>
          </w:tcPr>
          <w:p>
            <w:r>
              <w:rPr>
                <w:rFonts w:ascii="Calibri" w:hAnsi="Calibri"/>
                <w:sz w:val="22"/>
              </w:rPr>
              <w:t>$0.94</w:t>
            </w:r>
          </w:p>
        </w:tc>
        <w:tc>
          <w:tcPr>
            <w:tcW w:type="dxa" w:w="1728"/>
          </w:tcPr>
          <w:p>
            <w:r>
              <w:rPr>
                <w:rFonts w:ascii="Calibri" w:hAnsi="Calibri"/>
                <w:sz w:val="22"/>
              </w:rPr>
              <w:t>+122%</w:t>
            </w:r>
          </w:p>
        </w:tc>
        <w:tc>
          <w:tcPr>
            <w:tcW w:type="dxa" w:w="1728"/>
          </w:tcPr>
          <w:p>
            <w:r>
              <w:rPr>
                <w:rFonts w:ascii="Calibri" w:hAnsi="Calibri"/>
                <w:b/>
                <w:color w:val="30A46C"/>
                <w:sz w:val="22"/>
              </w:rPr>
              <w:t>BEAT (underlying; GAAP distorted by timing/identified items)</w:t>
            </w:r>
          </w:p>
        </w:tc>
      </w:tr>
    </w:tbl>
    <w:p>
      <w:r>
        <w:rPr>
          <w:rFonts w:ascii="Calibri" w:hAnsi="Calibri"/>
          <w:b/>
          <w:color w:val="525866"/>
          <w:sz w:val="22"/>
        </w:rPr>
        <w:t xml:space="preserve">Pattern: </w:t>
      </w:r>
      <w:r>
        <w:rPr>
          <w:rFonts w:ascii="Calibri" w:hAnsi="Calibri"/>
          <w:color w:val="525866"/>
          <w:sz w:val="22"/>
        </w:rPr>
        <w:t>XOM has beaten operating EPS consensus in all 8 of the last 8 quarters, with a median surprise of approximately +4%; the Q1 2026 “beat” is artificially inflated because the consensus baseline was depressed by the GAAP noise from timing effects and identified items, but the underlying operating result was genuinely above expectations.</w:t>
      </w:r>
    </w:p>
    <w:p>
      <w:pPr>
        <w:pStyle w:val="Heading3"/>
      </w:pPr>
      <w:r>
        <w:rPr>
          <w:rFonts w:ascii="Calibri" w:hAnsi="Calibri"/>
          <w:b/>
          <w:color w:val="3B4259"/>
          <w:sz w:val="24"/>
        </w:rPr>
        <w:t>Panel B: Total Worldwide Production (Mboe/d)</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Quarter</w:t>
            </w:r>
          </w:p>
        </w:tc>
        <w:tc>
          <w:tcPr>
            <w:tcW w:type="dxa" w:w="1728"/>
            <w:shd w:val="clear" w:color="auto" w:fill="3B4259"/>
          </w:tcPr>
          <w:p>
            <w:r>
              <w:rPr>
                <w:rFonts w:ascii="Calibri" w:hAnsi="Calibri"/>
                <w:b/>
                <w:color w:val="FFFFFF"/>
                <w:sz w:val="22"/>
              </w:rPr>
              <w:t>Reported (Mboe/d)</w:t>
            </w:r>
          </w:p>
        </w:tc>
        <w:tc>
          <w:tcPr>
            <w:tcW w:type="dxa" w:w="1728"/>
            <w:shd w:val="clear" w:color="auto" w:fill="3B4259"/>
          </w:tcPr>
          <w:p>
            <w:r>
              <w:rPr>
                <w:rFonts w:ascii="Calibri" w:hAnsi="Calibri"/>
                <w:b/>
                <w:color w:val="FFFFFF"/>
                <w:sz w:val="22"/>
              </w:rPr>
              <w:t>Consensus (Mboe/d)</w:t>
            </w:r>
          </w:p>
        </w:tc>
        <w:tc>
          <w:tcPr>
            <w:tcW w:type="dxa" w:w="1728"/>
            <w:shd w:val="clear" w:color="auto" w:fill="3B4259"/>
          </w:tcPr>
          <w:p>
            <w:r>
              <w:rPr>
                <w:rFonts w:ascii="Calibri" w:hAnsi="Calibri"/>
                <w:b/>
                <w:color w:val="FFFFFF"/>
                <w:sz w:val="22"/>
              </w:rPr>
              <w:t>Surprise %</w:t>
            </w:r>
          </w:p>
        </w:tc>
        <w:tc>
          <w:tcPr>
            <w:tcW w:type="dxa" w:w="1728"/>
            <w:shd w:val="clear" w:color="auto" w:fill="3B4259"/>
          </w:tcPr>
          <w:p>
            <w:r>
              <w:rPr>
                <w:rFonts w:ascii="Calibri" w:hAnsi="Calibri"/>
                <w:b/>
                <w:color w:val="FFFFFF"/>
                <w:sz w:val="22"/>
              </w:rPr>
              <w:t>Result</w:t>
            </w:r>
          </w:p>
        </w:tc>
      </w:tr>
      <w:tr>
        <w:tc>
          <w:tcPr>
            <w:tcW w:type="dxa" w:w="1728"/>
          </w:tcPr>
          <w:p>
            <w:r>
              <w:rPr>
                <w:rFonts w:ascii="Calibri" w:hAnsi="Calibri"/>
                <w:sz w:val="22"/>
              </w:rPr>
              <w:t>Q2 2024</w:t>
            </w:r>
          </w:p>
        </w:tc>
        <w:tc>
          <w:tcPr>
            <w:tcW w:type="dxa" w:w="1728"/>
          </w:tcPr>
          <w:p>
            <w:r>
              <w:rPr>
                <w:rFonts w:ascii="Calibri" w:hAnsi="Calibri"/>
                <w:sz w:val="22"/>
              </w:rPr>
              <w:t>4,358</w:t>
            </w:r>
          </w:p>
        </w:tc>
        <w:tc>
          <w:tcPr>
            <w:tcW w:type="dxa" w:w="1728"/>
          </w:tcPr>
          <w:p>
            <w:r>
              <w:rPr>
                <w:rFonts w:ascii="Calibri" w:hAnsi="Calibri"/>
                <w:sz w:val="22"/>
              </w:rPr>
              <w:t>4,189</w:t>
            </w:r>
          </w:p>
        </w:tc>
        <w:tc>
          <w:tcPr>
            <w:tcW w:type="dxa" w:w="1728"/>
          </w:tcPr>
          <w:p>
            <w:r>
              <w:rPr>
                <w:rFonts w:ascii="Calibri" w:hAnsi="Calibri"/>
                <w:sz w:val="22"/>
              </w:rPr>
              <w:t>+4.0%</w:t>
            </w:r>
          </w:p>
        </w:tc>
        <w:tc>
          <w:tcPr>
            <w:tcW w:type="dxa" w:w="1728"/>
          </w:tcPr>
          <w:p>
            <w:r>
              <w:rPr>
                <w:rFonts w:ascii="Calibri" w:hAnsi="Calibri"/>
                <w:b/>
                <w:color w:val="30A46C"/>
                <w:sz w:val="22"/>
              </w:rPr>
              <w:t>BEAT</w:t>
            </w:r>
          </w:p>
        </w:tc>
      </w:tr>
      <w:tr>
        <w:tc>
          <w:tcPr>
            <w:tcW w:type="dxa" w:w="1728"/>
          </w:tcPr>
          <w:p>
            <w:r>
              <w:rPr>
                <w:rFonts w:ascii="Calibri" w:hAnsi="Calibri"/>
                <w:sz w:val="22"/>
              </w:rPr>
              <w:t>Q3 2024</w:t>
            </w:r>
          </w:p>
        </w:tc>
        <w:tc>
          <w:tcPr>
            <w:tcW w:type="dxa" w:w="1728"/>
          </w:tcPr>
          <w:p>
            <w:r>
              <w:rPr>
                <w:rFonts w:ascii="Calibri" w:hAnsi="Calibri"/>
                <w:sz w:val="22"/>
              </w:rPr>
              <w:t>4,582</w:t>
            </w:r>
          </w:p>
        </w:tc>
        <w:tc>
          <w:tcPr>
            <w:tcW w:type="dxa" w:w="1728"/>
          </w:tcPr>
          <w:p>
            <w:r>
              <w:rPr>
                <w:rFonts w:ascii="Calibri" w:hAnsi="Calibri"/>
                <w:sz w:val="22"/>
              </w:rPr>
              <w:t>4,526</w:t>
            </w:r>
          </w:p>
        </w:tc>
        <w:tc>
          <w:tcPr>
            <w:tcW w:type="dxa" w:w="1728"/>
          </w:tcPr>
          <w:p>
            <w:r>
              <w:rPr>
                <w:rFonts w:ascii="Calibri" w:hAnsi="Calibri"/>
                <w:sz w:val="22"/>
              </w:rPr>
              <w:t>+1.2%</w:t>
            </w:r>
          </w:p>
        </w:tc>
        <w:tc>
          <w:tcPr>
            <w:tcW w:type="dxa" w:w="1728"/>
          </w:tcPr>
          <w:p>
            <w:r>
              <w:rPr>
                <w:rFonts w:ascii="Calibri" w:hAnsi="Calibri"/>
                <w:b/>
                <w:color w:val="30A46C"/>
                <w:sz w:val="22"/>
              </w:rPr>
              <w:t>BEAT</w:t>
            </w:r>
          </w:p>
        </w:tc>
      </w:tr>
      <w:tr>
        <w:tc>
          <w:tcPr>
            <w:tcW w:type="dxa" w:w="1728"/>
          </w:tcPr>
          <w:p>
            <w:r>
              <w:rPr>
                <w:rFonts w:ascii="Calibri" w:hAnsi="Calibri"/>
                <w:sz w:val="22"/>
              </w:rPr>
              <w:t>Q4 2024</w:t>
            </w:r>
          </w:p>
        </w:tc>
        <w:tc>
          <w:tcPr>
            <w:tcW w:type="dxa" w:w="1728"/>
          </w:tcPr>
          <w:p>
            <w:r>
              <w:rPr>
                <w:rFonts w:ascii="Calibri" w:hAnsi="Calibri"/>
                <w:sz w:val="22"/>
              </w:rPr>
              <w:t>4,602</w:t>
            </w:r>
          </w:p>
        </w:tc>
        <w:tc>
          <w:tcPr>
            <w:tcW w:type="dxa" w:w="1728"/>
          </w:tcPr>
          <w:p>
            <w:r>
              <w:rPr>
                <w:rFonts w:ascii="Calibri" w:hAnsi="Calibri"/>
                <w:sz w:val="22"/>
              </w:rPr>
              <w:t>4,595</w:t>
            </w:r>
          </w:p>
        </w:tc>
        <w:tc>
          <w:tcPr>
            <w:tcW w:type="dxa" w:w="1728"/>
          </w:tcPr>
          <w:p>
            <w:r>
              <w:rPr>
                <w:rFonts w:ascii="Calibri" w:hAnsi="Calibri"/>
                <w:sz w:val="22"/>
              </w:rPr>
              <w:t>+0.1%</w:t>
            </w:r>
          </w:p>
        </w:tc>
        <w:tc>
          <w:tcPr>
            <w:tcW w:type="dxa" w:w="1728"/>
          </w:tcPr>
          <w:p>
            <w:r>
              <w:rPr>
                <w:rFonts w:ascii="Calibri" w:hAnsi="Calibri"/>
                <w:b/>
                <w:color w:val="30A46C"/>
                <w:sz w:val="22"/>
              </w:rPr>
              <w:t>BEAT</w:t>
            </w:r>
          </w:p>
        </w:tc>
      </w:tr>
      <w:tr>
        <w:tc>
          <w:tcPr>
            <w:tcW w:type="dxa" w:w="1728"/>
          </w:tcPr>
          <w:p>
            <w:r>
              <w:rPr>
                <w:rFonts w:ascii="Calibri" w:hAnsi="Calibri"/>
                <w:sz w:val="22"/>
              </w:rPr>
              <w:t>Q1 2025</w:t>
            </w:r>
          </w:p>
        </w:tc>
        <w:tc>
          <w:tcPr>
            <w:tcW w:type="dxa" w:w="1728"/>
          </w:tcPr>
          <w:p>
            <w:r>
              <w:rPr>
                <w:rFonts w:ascii="Calibri" w:hAnsi="Calibri"/>
                <w:sz w:val="22"/>
              </w:rPr>
              <w:t>4,551</w:t>
            </w:r>
          </w:p>
        </w:tc>
        <w:tc>
          <w:tcPr>
            <w:tcW w:type="dxa" w:w="1728"/>
          </w:tcPr>
          <w:p>
            <w:r>
              <w:rPr>
                <w:rFonts w:ascii="Calibri" w:hAnsi="Calibri"/>
                <w:sz w:val="22"/>
              </w:rPr>
              <w:t>4,596</w:t>
            </w:r>
          </w:p>
        </w:tc>
        <w:tc>
          <w:tcPr>
            <w:tcW w:type="dxa" w:w="1728"/>
          </w:tcPr>
          <w:p>
            <w:r>
              <w:rPr>
                <w:rFonts w:ascii="Calibri" w:hAnsi="Calibri"/>
                <w:sz w:val="22"/>
              </w:rPr>
              <w:t>-1.0%</w:t>
            </w:r>
          </w:p>
        </w:tc>
        <w:tc>
          <w:tcPr>
            <w:tcW w:type="dxa" w:w="1728"/>
          </w:tcPr>
          <w:p>
            <w:r>
              <w:rPr>
                <w:rFonts w:ascii="Calibri" w:hAnsi="Calibri"/>
                <w:b/>
                <w:color w:val="E5484D"/>
                <w:sz w:val="22"/>
              </w:rPr>
              <w:t>MISS</w:t>
            </w:r>
          </w:p>
        </w:tc>
      </w:tr>
      <w:tr>
        <w:tc>
          <w:tcPr>
            <w:tcW w:type="dxa" w:w="1728"/>
          </w:tcPr>
          <w:p>
            <w:r>
              <w:rPr>
                <w:rFonts w:ascii="Calibri" w:hAnsi="Calibri"/>
                <w:sz w:val="22"/>
              </w:rPr>
              <w:t>Q2 2025</w:t>
            </w:r>
          </w:p>
        </w:tc>
        <w:tc>
          <w:tcPr>
            <w:tcW w:type="dxa" w:w="1728"/>
          </w:tcPr>
          <w:p>
            <w:r>
              <w:rPr>
                <w:rFonts w:ascii="Calibri" w:hAnsi="Calibri"/>
                <w:sz w:val="22"/>
              </w:rPr>
              <w:t>4,629</w:t>
            </w:r>
          </w:p>
        </w:tc>
        <w:tc>
          <w:tcPr>
            <w:tcW w:type="dxa" w:w="1728"/>
          </w:tcPr>
          <w:p>
            <w:r>
              <w:rPr>
                <w:rFonts w:ascii="Calibri" w:hAnsi="Calibri"/>
                <w:sz w:val="22"/>
              </w:rPr>
              <w:t>4,471</w:t>
            </w:r>
          </w:p>
        </w:tc>
        <w:tc>
          <w:tcPr>
            <w:tcW w:type="dxa" w:w="1728"/>
          </w:tcPr>
          <w:p>
            <w:r>
              <w:rPr>
                <w:rFonts w:ascii="Calibri" w:hAnsi="Calibri"/>
                <w:sz w:val="22"/>
              </w:rPr>
              <w:t>+3.5%</w:t>
            </w:r>
          </w:p>
        </w:tc>
        <w:tc>
          <w:tcPr>
            <w:tcW w:type="dxa" w:w="1728"/>
          </w:tcPr>
          <w:p>
            <w:r>
              <w:rPr>
                <w:rFonts w:ascii="Calibri" w:hAnsi="Calibri"/>
                <w:b/>
                <w:color w:val="30A46C"/>
                <w:sz w:val="22"/>
              </w:rPr>
              <w:t>BEAT</w:t>
            </w:r>
          </w:p>
        </w:tc>
      </w:tr>
      <w:tr>
        <w:tc>
          <w:tcPr>
            <w:tcW w:type="dxa" w:w="1728"/>
          </w:tcPr>
          <w:p>
            <w:r>
              <w:rPr>
                <w:rFonts w:ascii="Calibri" w:hAnsi="Calibri"/>
                <w:sz w:val="22"/>
              </w:rPr>
              <w:t>Q3 2025</w:t>
            </w:r>
          </w:p>
        </w:tc>
        <w:tc>
          <w:tcPr>
            <w:tcW w:type="dxa" w:w="1728"/>
          </w:tcPr>
          <w:p>
            <w:r>
              <w:rPr>
                <w:rFonts w:ascii="Calibri" w:hAnsi="Calibri"/>
                <w:sz w:val="22"/>
              </w:rPr>
              <w:t>4,769</w:t>
            </w:r>
          </w:p>
        </w:tc>
        <w:tc>
          <w:tcPr>
            <w:tcW w:type="dxa" w:w="1728"/>
          </w:tcPr>
          <w:p>
            <w:r>
              <w:rPr>
                <w:rFonts w:ascii="Calibri" w:hAnsi="Calibri"/>
                <w:sz w:val="22"/>
              </w:rPr>
              <w:t>4,703</w:t>
            </w:r>
          </w:p>
        </w:tc>
        <w:tc>
          <w:tcPr>
            <w:tcW w:type="dxa" w:w="1728"/>
          </w:tcPr>
          <w:p>
            <w:r>
              <w:rPr>
                <w:rFonts w:ascii="Calibri" w:hAnsi="Calibri"/>
                <w:sz w:val="22"/>
              </w:rPr>
              <w:t>+1.4%</w:t>
            </w:r>
          </w:p>
        </w:tc>
        <w:tc>
          <w:tcPr>
            <w:tcW w:type="dxa" w:w="1728"/>
          </w:tcPr>
          <w:p>
            <w:r>
              <w:rPr>
                <w:rFonts w:ascii="Calibri" w:hAnsi="Calibri"/>
                <w:b/>
                <w:color w:val="30A46C"/>
                <w:sz w:val="22"/>
              </w:rPr>
              <w:t>BEAT</w:t>
            </w:r>
          </w:p>
        </w:tc>
      </w:tr>
      <w:tr>
        <w:tc>
          <w:tcPr>
            <w:tcW w:type="dxa" w:w="1728"/>
          </w:tcPr>
          <w:p>
            <w:r>
              <w:rPr>
                <w:rFonts w:ascii="Calibri" w:hAnsi="Calibri"/>
                <w:sz w:val="22"/>
              </w:rPr>
              <w:t>Q4 2025</w:t>
            </w:r>
          </w:p>
        </w:tc>
        <w:tc>
          <w:tcPr>
            <w:tcW w:type="dxa" w:w="1728"/>
          </w:tcPr>
          <w:p>
            <w:r>
              <w:rPr>
                <w:rFonts w:ascii="Calibri" w:hAnsi="Calibri"/>
                <w:sz w:val="22"/>
              </w:rPr>
              <w:t>4,988</w:t>
            </w:r>
          </w:p>
        </w:tc>
        <w:tc>
          <w:tcPr>
            <w:tcW w:type="dxa" w:w="1728"/>
          </w:tcPr>
          <w:p>
            <w:r>
              <w:rPr>
                <w:rFonts w:ascii="Calibri" w:hAnsi="Calibri"/>
                <w:sz w:val="22"/>
              </w:rPr>
              <w:t>4,849</w:t>
            </w:r>
          </w:p>
        </w:tc>
        <w:tc>
          <w:tcPr>
            <w:tcW w:type="dxa" w:w="1728"/>
          </w:tcPr>
          <w:p>
            <w:r>
              <w:rPr>
                <w:rFonts w:ascii="Calibri" w:hAnsi="Calibri"/>
                <w:sz w:val="22"/>
              </w:rPr>
              <w:t>+2.9%</w:t>
            </w:r>
          </w:p>
        </w:tc>
        <w:tc>
          <w:tcPr>
            <w:tcW w:type="dxa" w:w="1728"/>
          </w:tcPr>
          <w:p>
            <w:r>
              <w:rPr>
                <w:rFonts w:ascii="Calibri" w:hAnsi="Calibri"/>
                <w:b/>
                <w:color w:val="30A46C"/>
                <w:sz w:val="22"/>
              </w:rPr>
              <w:t>BEAT</w:t>
            </w:r>
          </w:p>
        </w:tc>
      </w:tr>
      <w:tr>
        <w:tc>
          <w:tcPr>
            <w:tcW w:type="dxa" w:w="1728"/>
          </w:tcPr>
          <w:p>
            <w:r>
              <w:rPr>
                <w:rFonts w:ascii="Calibri" w:hAnsi="Calibri"/>
                <w:sz w:val="22"/>
              </w:rPr>
              <w:t>Q1 2026</w:t>
            </w:r>
          </w:p>
        </w:tc>
        <w:tc>
          <w:tcPr>
            <w:tcW w:type="dxa" w:w="1728"/>
          </w:tcPr>
          <w:p>
            <w:r>
              <w:rPr>
                <w:rFonts w:ascii="Calibri" w:hAnsi="Calibri"/>
                <w:sz w:val="22"/>
              </w:rPr>
              <w:t>4,594</w:t>
            </w:r>
          </w:p>
        </w:tc>
        <w:tc>
          <w:tcPr>
            <w:tcW w:type="dxa" w:w="1728"/>
          </w:tcPr>
          <w:p>
            <w:r>
              <w:rPr>
                <w:rFonts w:ascii="Calibri" w:hAnsi="Calibri"/>
                <w:sz w:val="22"/>
              </w:rPr>
              <w:t>4,620</w:t>
            </w:r>
          </w:p>
        </w:tc>
        <w:tc>
          <w:tcPr>
            <w:tcW w:type="dxa" w:w="1728"/>
          </w:tcPr>
          <w:p>
            <w:r>
              <w:rPr>
                <w:rFonts w:ascii="Calibri" w:hAnsi="Calibri"/>
                <w:sz w:val="22"/>
              </w:rPr>
              <w:t>-0.6%</w:t>
            </w:r>
          </w:p>
        </w:tc>
        <w:tc>
          <w:tcPr>
            <w:tcW w:type="dxa" w:w="1728"/>
          </w:tcPr>
          <w:p>
            <w:r>
              <w:rPr>
                <w:rFonts w:ascii="Calibri" w:hAnsi="Calibri"/>
                <w:b/>
                <w:color w:val="E5484D"/>
                <w:sz w:val="22"/>
              </w:rPr>
              <w:t>MISS (Middle East/Kazakhstan disruptions)</w:t>
            </w:r>
          </w:p>
        </w:tc>
      </w:tr>
    </w:tbl>
    <w:p>
      <w:r>
        <w:rPr>
          <w:rFonts w:ascii="Calibri" w:hAnsi="Calibri"/>
          <w:b/>
          <w:color w:val="525866"/>
          <w:sz w:val="22"/>
        </w:rPr>
        <w:t xml:space="preserve">Pattern: </w:t>
      </w:r>
      <w:r>
        <w:rPr>
          <w:rFonts w:ascii="Calibri" w:hAnsi="Calibri"/>
          <w:color w:val="525866"/>
          <w:sz w:val="22"/>
        </w:rPr>
        <w:t>XOM has beaten production consensus in 6 of the last 8 quarters; the two misses (Q1 2025 and Q1 2026) were both driven by external disruptions (weather, geopolitical) rather than operational underperformance, suggesting the underlying production engine continues to outperform. The Q2 2026 consensus of 4,254 Mboe/d is set well below Q1 actual (4,594), reflecting ongoing Middle East shut-ins — a beat here would be a meaningful positive signal.</w:t>
      </w:r>
    </w:p>
    <w:p>
      <w:r>
        <w:rPr>
          <w:rFonts w:ascii="Calibri" w:hAnsi="Calibri"/>
          <w:b/>
          <w:color w:val="525866"/>
          <w:sz w:val="22"/>
        </w:rPr>
        <w:t xml:space="preserve">Source: </w:t>
      </w:r>
      <w:r>
        <w:rPr>
          <w:rFonts w:ascii="Calibri" w:hAnsi="Calibri"/>
          <w:color w:val="525866"/>
          <w:sz w:val="22"/>
        </w:rPr>
        <w:t>Visible Alpha Consensus and Actuals Data (EPS — Diluted — Operating: https://insights.visiblealpha.com/mex/XOM/NMV/IS; Total worldwide liquids and gas production/day: https://insights.visiblealpha.com/mex/XOM/NMV/KV).</w:t>
      </w:r>
    </w:p>
    <w:p>
      <w:r>
        <w:br w:type="page"/>
      </w:r>
    </w:p>
    <w:p>
      <w:pPr>
        <w:pStyle w:val="Heading1"/>
        <w:pBdr>
          <w:bottom w:val="single" w:sz="4" w:space="1" w:color="FB9120"/>
        </w:pBdr>
      </w:pPr>
      <w:r>
        <w:rPr>
          <w:rFonts w:ascii="Calibri" w:hAnsi="Calibri"/>
          <w:b/>
          <w:color w:val="3B4259"/>
          <w:sz w:val="40"/>
        </w:rPr>
        <w:t>3. Guidance &amp; Commentary Evolution</w:t>
      </w:r>
    </w:p>
    <w:p>
      <w:r>
        <w:rPr>
          <w:rFonts w:ascii="Calibri" w:hAnsi="Calibri"/>
          <w:b/>
          <w:color w:val="525866"/>
          <w:sz w:val="22"/>
        </w:rPr>
        <w:t xml:space="preserve">Key Takeaway: </w:t>
      </w:r>
      <w:r>
        <w:rPr>
          <w:rFonts w:ascii="Calibri" w:hAnsi="Calibri"/>
          <w:color w:val="525866"/>
          <w:sz w:val="22"/>
        </w:rPr>
        <w:t xml:space="preserve">Management’s tone on the Q1 2026 call (May 1) was </w:t>
      </w:r>
      <w:r>
        <w:rPr>
          <w:rFonts w:ascii="Calibri" w:hAnsi="Calibri"/>
          <w:b/>
          <w:color w:val="525866"/>
          <w:sz w:val="22"/>
        </w:rPr>
        <w:t>assertive and forward-leaning</w:t>
      </w:r>
      <w:r>
        <w:rPr>
          <w:rFonts w:ascii="Calibri" w:hAnsi="Calibri"/>
          <w:color w:val="525866"/>
          <w:sz w:val="22"/>
        </w:rPr>
        <w:t xml:space="preserve"> — Permian on track, Golden Pass Train 1 producing, Guyana record output, LNG markets tightening; no formal guidance has been revised since the Q1 call, but the commodity environment has moved materially in XOM’s favor, creating implicit upside to the FY2026 framework.</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Metric</w:t>
            </w:r>
          </w:p>
        </w:tc>
        <w:tc>
          <w:tcPr>
            <w:tcW w:type="dxa" w:w="1728"/>
            <w:shd w:val="clear" w:color="auto" w:fill="3B4259"/>
          </w:tcPr>
          <w:p>
            <w:r>
              <w:rPr>
                <w:rFonts w:ascii="Calibri" w:hAnsi="Calibri"/>
                <w:b/>
                <w:color w:val="FFFFFF"/>
                <w:sz w:val="22"/>
              </w:rPr>
              <w:t>Initial Guidance (Q1 2026 Earnings Call, May 1, 2026)</w:t>
            </w:r>
          </w:p>
        </w:tc>
        <w:tc>
          <w:tcPr>
            <w:tcW w:type="dxa" w:w="1728"/>
            <w:shd w:val="clear" w:color="auto" w:fill="3B4259"/>
          </w:tcPr>
          <w:p>
            <w:r>
              <w:rPr>
                <w:rFonts w:ascii="Calibri" w:hAnsi="Calibri"/>
                <w:b/>
                <w:color w:val="FFFFFF"/>
                <w:sz w:val="22"/>
              </w:rPr>
              <w:t>Revised Guidance</w:t>
            </w:r>
          </w:p>
        </w:tc>
        <w:tc>
          <w:tcPr>
            <w:tcW w:type="dxa" w:w="1728"/>
            <w:shd w:val="clear" w:color="auto" w:fill="3B4259"/>
          </w:tcPr>
          <w:p>
            <w:r>
              <w:rPr>
                <w:rFonts w:ascii="Calibri" w:hAnsi="Calibri"/>
                <w:b/>
                <w:color w:val="FFFFFF"/>
                <w:sz w:val="22"/>
              </w:rPr>
              <w:t>Current Consensus</w:t>
            </w:r>
          </w:p>
        </w:tc>
        <w:tc>
          <w:tcPr>
            <w:tcW w:type="dxa" w:w="1728"/>
            <w:shd w:val="clear" w:color="auto" w:fill="3B4259"/>
          </w:tcPr>
          <w:p>
            <w:r>
              <w:rPr>
                <w:rFonts w:ascii="Calibri" w:hAnsi="Calibri"/>
                <w:b/>
                <w:color w:val="FFFFFF"/>
                <w:sz w:val="22"/>
              </w:rPr>
              <w:t>Note</w:t>
            </w:r>
          </w:p>
        </w:tc>
      </w:tr>
      <w:tr>
        <w:tc>
          <w:tcPr>
            <w:tcW w:type="dxa" w:w="1728"/>
          </w:tcPr>
          <w:p>
            <w:r>
              <w:rPr>
                <w:rFonts w:ascii="Calibri" w:hAnsi="Calibri"/>
                <w:sz w:val="22"/>
              </w:rPr>
              <w:t>Permian Production (FY2026)</w:t>
            </w:r>
          </w:p>
        </w:tc>
        <w:tc>
          <w:tcPr>
            <w:tcW w:type="dxa" w:w="1728"/>
          </w:tcPr>
          <w:p>
            <w:r>
              <w:rPr>
                <w:rFonts w:ascii="Calibri" w:hAnsi="Calibri"/>
                <w:sz w:val="22"/>
              </w:rPr>
              <w:t>1.8 MMboe/d full-year target; “on track”</w:t>
            </w:r>
          </w:p>
        </w:tc>
        <w:tc>
          <w:tcPr>
            <w:tcW w:type="dxa" w:w="1728"/>
          </w:tcPr>
          <w:p>
            <w:r>
              <w:rPr>
                <w:rFonts w:ascii="Calibri" w:hAnsi="Calibri"/>
                <w:sz w:val="22"/>
              </w:rPr>
              <w:t>—</w:t>
            </w:r>
          </w:p>
        </w:tc>
        <w:tc>
          <w:tcPr>
            <w:tcW w:type="dxa" w:w="1728"/>
          </w:tcPr>
          <w:p>
            <w:r>
              <w:rPr>
                <w:rFonts w:ascii="Calibri" w:hAnsi="Calibri"/>
                <w:sz w:val="22"/>
              </w:rPr>
              <w:t>Consensus implies ~1.8 MMboe/d; no change</w:t>
            </w:r>
          </w:p>
        </w:tc>
        <w:tc>
          <w:tcPr>
            <w:tcW w:type="dxa" w:w="1728"/>
          </w:tcPr>
          <w:p>
            <w:r>
              <w:rPr>
                <w:rFonts w:ascii="Calibri" w:hAnsi="Calibri"/>
                <w:sz w:val="22"/>
              </w:rPr>
              <w:t>Unchanged; management “running full speed” vs. peers discussing plateau</w:t>
            </w:r>
          </w:p>
        </w:tc>
      </w:tr>
      <w:tr>
        <w:tc>
          <w:tcPr>
            <w:tcW w:type="dxa" w:w="1728"/>
          </w:tcPr>
          <w:p>
            <w:r>
              <w:rPr>
                <w:rFonts w:ascii="Calibri" w:hAnsi="Calibri"/>
                <w:sz w:val="22"/>
              </w:rPr>
              <w:t>Golden Pass LNG — Train 2</w:t>
            </w:r>
          </w:p>
        </w:tc>
        <w:tc>
          <w:tcPr>
            <w:tcW w:type="dxa" w:w="1728"/>
          </w:tcPr>
          <w:p>
            <w:r>
              <w:rPr>
                <w:rFonts w:ascii="Calibri" w:hAnsi="Calibri"/>
                <w:sz w:val="22"/>
              </w:rPr>
              <w:t>Mechanically complete by end of 2026</w:t>
            </w:r>
          </w:p>
        </w:tc>
        <w:tc>
          <w:tcPr>
            <w:tcW w:type="dxa" w:w="1728"/>
          </w:tcPr>
          <w:p>
            <w:r>
              <w:rPr>
                <w:rFonts w:ascii="Calibri" w:hAnsi="Calibri"/>
                <w:sz w:val="22"/>
              </w:rPr>
              <w:t>—</w:t>
            </w:r>
          </w:p>
        </w:tc>
        <w:tc>
          <w:tcPr>
            <w:tcW w:type="dxa" w:w="1728"/>
          </w:tcPr>
          <w:p>
            <w:r>
              <w:rPr>
                <w:rFonts w:ascii="Calibri" w:hAnsi="Calibri"/>
                <w:sz w:val="22"/>
              </w:rPr>
              <w:t>N/A — not a consensus-tracked KPI</w:t>
            </w:r>
          </w:p>
        </w:tc>
        <w:tc>
          <w:tcPr>
            <w:tcW w:type="dxa" w:w="1728"/>
          </w:tcPr>
          <w:p>
            <w:r>
              <w:rPr>
                <w:rFonts w:ascii="Calibri" w:hAnsi="Calibri"/>
                <w:sz w:val="22"/>
              </w:rPr>
              <w:t>Unchanged; Train 1 achieved first LNG in March 2026; Train 3 targeted Q2 2027</w:t>
            </w:r>
          </w:p>
        </w:tc>
      </w:tr>
      <w:tr>
        <w:tc>
          <w:tcPr>
            <w:tcW w:type="dxa" w:w="1728"/>
          </w:tcPr>
          <w:p>
            <w:r>
              <w:rPr>
                <w:rFonts w:ascii="Calibri" w:hAnsi="Calibri"/>
                <w:sz w:val="22"/>
              </w:rPr>
              <w:t>Golden Pass LNG — Train 3</w:t>
            </w:r>
          </w:p>
        </w:tc>
        <w:tc>
          <w:tcPr>
            <w:tcW w:type="dxa" w:w="1728"/>
          </w:tcPr>
          <w:p>
            <w:r>
              <w:rPr>
                <w:rFonts w:ascii="Calibri" w:hAnsi="Calibri"/>
                <w:sz w:val="22"/>
              </w:rPr>
              <w:t>Mechanically complete Q2 2027</w:t>
            </w:r>
          </w:p>
        </w:tc>
        <w:tc>
          <w:tcPr>
            <w:tcW w:type="dxa" w:w="1728"/>
          </w:tcPr>
          <w:p>
            <w:r>
              <w:rPr>
                <w:rFonts w:ascii="Calibri" w:hAnsi="Calibri"/>
                <w:sz w:val="22"/>
              </w:rPr>
              <w:t>—</w:t>
            </w:r>
          </w:p>
        </w:tc>
        <w:tc>
          <w:tcPr>
            <w:tcW w:type="dxa" w:w="1728"/>
          </w:tcPr>
          <w:p>
            <w:r>
              <w:rPr>
                <w:rFonts w:ascii="Calibri" w:hAnsi="Calibri"/>
                <w:sz w:val="22"/>
              </w:rPr>
              <w:t>N/A — not a consensus-tracked KPI</w:t>
            </w:r>
          </w:p>
        </w:tc>
        <w:tc>
          <w:tcPr>
            <w:tcW w:type="dxa" w:w="1728"/>
          </w:tcPr>
          <w:p>
            <w:r>
              <w:rPr>
                <w:rFonts w:ascii="Calibri" w:hAnsi="Calibri"/>
                <w:sz w:val="22"/>
              </w:rPr>
              <w:t>Unchanged; all three trains online will add ~15% to U.S. LNG export capacity</w:t>
            </w:r>
          </w:p>
        </w:tc>
      </w:tr>
      <w:tr>
        <w:tc>
          <w:tcPr>
            <w:tcW w:type="dxa" w:w="1728"/>
          </w:tcPr>
          <w:p>
            <w:r>
              <w:rPr>
                <w:rFonts w:ascii="Calibri" w:hAnsi="Calibri"/>
                <w:sz w:val="22"/>
              </w:rPr>
              <w:t>Mozambique &amp; PNG LNG FIDs</w:t>
            </w:r>
          </w:p>
        </w:tc>
        <w:tc>
          <w:tcPr>
            <w:tcW w:type="dxa" w:w="1728"/>
          </w:tcPr>
          <w:p>
            <w:r>
              <w:rPr>
                <w:rFonts w:ascii="Calibri" w:hAnsi="Calibri"/>
                <w:sz w:val="22"/>
              </w:rPr>
              <w:t>Both FIDs expected “later this year” (2026)</w:t>
            </w:r>
          </w:p>
        </w:tc>
        <w:tc>
          <w:tcPr>
            <w:tcW w:type="dxa" w:w="1728"/>
          </w:tcPr>
          <w:p>
            <w:r>
              <w:rPr>
                <w:rFonts w:ascii="Calibri" w:hAnsi="Calibri"/>
                <w:sz w:val="22"/>
              </w:rPr>
              <w:t>—</w:t>
            </w:r>
          </w:p>
        </w:tc>
        <w:tc>
          <w:tcPr>
            <w:tcW w:type="dxa" w:w="1728"/>
          </w:tcPr>
          <w:p>
            <w:r>
              <w:rPr>
                <w:rFonts w:ascii="Calibri" w:hAnsi="Calibri"/>
                <w:sz w:val="22"/>
              </w:rPr>
              <w:t>N/A — not a consensus-tracked KPI</w:t>
            </w:r>
          </w:p>
        </w:tc>
        <w:tc>
          <w:tcPr>
            <w:tcW w:type="dxa" w:w="1728"/>
          </w:tcPr>
          <w:p>
            <w:r>
              <w:rPr>
                <w:rFonts w:ascii="Calibri" w:hAnsi="Calibri"/>
                <w:sz w:val="22"/>
              </w:rPr>
              <w:t>Unchanged; TotalEnergies targets PNG FID by November 2026; Mozambique 45% complete</w:t>
            </w:r>
          </w:p>
        </w:tc>
      </w:tr>
      <w:tr>
        <w:tc>
          <w:tcPr>
            <w:tcW w:type="dxa" w:w="1728"/>
          </w:tcPr>
          <w:p>
            <w:r>
              <w:rPr>
                <w:rFonts w:ascii="Calibri" w:hAnsi="Calibri"/>
                <w:sz w:val="22"/>
              </w:rPr>
              <w:t>FY2026 EPS — Diluted Operating</w:t>
            </w:r>
          </w:p>
        </w:tc>
        <w:tc>
          <w:tcPr>
            <w:tcW w:type="dxa" w:w="1728"/>
          </w:tcPr>
          <w:p>
            <w:r>
              <w:rPr>
                <w:rFonts w:ascii="Calibri" w:hAnsi="Calibri"/>
                <w:sz w:val="22"/>
              </w:rPr>
              <w:t>No explicit EPS guide; implied by FY framework</w:t>
            </w:r>
          </w:p>
        </w:tc>
        <w:tc>
          <w:tcPr>
            <w:tcW w:type="dxa" w:w="1728"/>
          </w:tcPr>
          <w:p>
            <w:r>
              <w:rPr>
                <w:rFonts w:ascii="Calibri" w:hAnsi="Calibri"/>
                <w:sz w:val="22"/>
              </w:rPr>
              <w:t>—</w:t>
            </w:r>
          </w:p>
        </w:tc>
        <w:tc>
          <w:tcPr>
            <w:tcW w:type="dxa" w:w="1728"/>
          </w:tcPr>
          <w:p>
            <w:r>
              <w:rPr>
                <w:rFonts w:ascii="Calibri" w:hAnsi="Calibri"/>
                <w:sz w:val="22"/>
              </w:rPr>
              <w:t>$10.95/share</w:t>
            </w:r>
          </w:p>
        </w:tc>
        <w:tc>
          <w:tcPr>
            <w:tcW w:type="dxa" w:w="1728"/>
          </w:tcPr>
          <w:p>
            <w:r>
              <w:rPr>
                <w:rFonts w:ascii="Calibri" w:hAnsi="Calibri"/>
                <w:sz w:val="22"/>
              </w:rPr>
              <w:t>Consensus up sharply from ~$10.74 at Q1 baseline; commodity tailwind driving revisions higher</w:t>
            </w:r>
          </w:p>
        </w:tc>
      </w:tr>
      <w:tr>
        <w:tc>
          <w:tcPr>
            <w:tcW w:type="dxa" w:w="1728"/>
          </w:tcPr>
          <w:p>
            <w:r>
              <w:rPr>
                <w:rFonts w:ascii="Calibri" w:hAnsi="Calibri"/>
                <w:sz w:val="22"/>
              </w:rPr>
              <w:t>FY2026 Capital &amp; Exploration Expenditures</w:t>
            </w:r>
          </w:p>
        </w:tc>
        <w:tc>
          <w:tcPr>
            <w:tcW w:type="dxa" w:w="1728"/>
          </w:tcPr>
          <w:p>
            <w:r>
              <w:rPr>
                <w:rFonts w:ascii="Calibri" w:hAnsi="Calibri"/>
                <w:sz w:val="22"/>
              </w:rPr>
              <w:t>No explicit quarterly guide; FY framework maintained</w:t>
            </w:r>
          </w:p>
        </w:tc>
        <w:tc>
          <w:tcPr>
            <w:tcW w:type="dxa" w:w="1728"/>
          </w:tcPr>
          <w:p>
            <w:r>
              <w:rPr>
                <w:rFonts w:ascii="Calibri" w:hAnsi="Calibri"/>
                <w:sz w:val="22"/>
              </w:rPr>
              <w:t>—</w:t>
            </w:r>
          </w:p>
        </w:tc>
        <w:tc>
          <w:tcPr>
            <w:tcW w:type="dxa" w:w="1728"/>
          </w:tcPr>
          <w:p>
            <w:r>
              <w:rPr>
                <w:rFonts w:ascii="Calibri" w:hAnsi="Calibri"/>
                <w:sz w:val="22"/>
              </w:rPr>
              <w:t>$28.2B</w:t>
            </w:r>
          </w:p>
        </w:tc>
        <w:tc>
          <w:tcPr>
            <w:tcW w:type="dxa" w:w="1728"/>
          </w:tcPr>
          <w:p>
            <w:r>
              <w:rPr>
                <w:rFonts w:ascii="Calibri" w:hAnsi="Calibri"/>
                <w:sz w:val="22"/>
              </w:rPr>
              <w:t>Unchanged; management emphasized capital discipline and no increase in CapEx despite higher prices</w:t>
            </w:r>
          </w:p>
        </w:tc>
      </w:tr>
      <w:tr>
        <w:tc>
          <w:tcPr>
            <w:tcW w:type="dxa" w:w="1728"/>
          </w:tcPr>
          <w:p>
            <w:r>
              <w:rPr>
                <w:rFonts w:ascii="Calibri" w:hAnsi="Calibri"/>
                <w:sz w:val="22"/>
              </w:rPr>
              <w:t>Strait of Hormuz / Geopolitical Tone</w:t>
            </w:r>
          </w:p>
        </w:tc>
        <w:tc>
          <w:tcPr>
            <w:tcW w:type="dxa" w:w="1728"/>
          </w:tcPr>
          <w:p>
            <w:r>
              <w:rPr>
                <w:rFonts w:ascii="Calibri" w:hAnsi="Calibri"/>
                <w:sz w:val="22"/>
              </w:rPr>
              <w:t>Anticipated continued price increases if Strait remains closed; 1–2 month lag after reopening; inventory replenishment demand to follow</w:t>
            </w:r>
          </w:p>
        </w:tc>
        <w:tc>
          <w:tcPr>
            <w:tcW w:type="dxa" w:w="1728"/>
          </w:tcPr>
          <w:p>
            <w:r>
              <w:rPr>
                <w:rFonts w:ascii="Calibri" w:hAnsi="Calibri"/>
                <w:sz w:val="22"/>
              </w:rPr>
              <w:t>Conflict re-escalated ~July 9 per TotalEnergies; Strait intermittently closed</w:t>
            </w:r>
          </w:p>
        </w:tc>
        <w:tc>
          <w:tcPr>
            <w:tcW w:type="dxa" w:w="1728"/>
          </w:tcPr>
          <w:p>
            <w:r>
              <w:rPr>
                <w:rFonts w:ascii="Calibri" w:hAnsi="Calibri"/>
                <w:sz w:val="22"/>
              </w:rPr>
              <w:t>N/A</w:t>
            </w:r>
          </w:p>
        </w:tc>
        <w:tc>
          <w:tcPr>
            <w:tcW w:type="dxa" w:w="1728"/>
          </w:tcPr>
          <w:p>
            <w:r>
              <w:rPr>
                <w:rFonts w:ascii="Calibri" w:hAnsi="Calibri"/>
                <w:sz w:val="22"/>
              </w:rPr>
              <w:t>↑ More hawkish than initial guidance; management’s inventory depletion thesis playing out; risk premium building</w:t>
            </w:r>
          </w:p>
        </w:tc>
      </w:tr>
      <w:tr>
        <w:tc>
          <w:tcPr>
            <w:tcW w:type="dxa" w:w="1728"/>
          </w:tcPr>
          <w:p>
            <w:r>
              <w:rPr>
                <w:rFonts w:ascii="Calibri" w:hAnsi="Calibri"/>
                <w:sz w:val="22"/>
              </w:rPr>
              <w:t>Qatar LNG Repair Timeline</w:t>
            </w:r>
          </w:p>
        </w:tc>
        <w:tc>
          <w:tcPr>
            <w:tcW w:type="dxa" w:w="1728"/>
          </w:tcPr>
          <w:p>
            <w:r>
              <w:rPr>
                <w:rFonts w:ascii="Calibri" w:hAnsi="Calibri"/>
                <w:sz w:val="22"/>
              </w:rPr>
              <w:t>3–5 years per QatarEnergy; cold box lead times are critical path</w:t>
            </w:r>
          </w:p>
        </w:tc>
        <w:tc>
          <w:tcPr>
            <w:tcW w:type="dxa" w:w="1728"/>
          </w:tcPr>
          <w:p>
            <w:r>
              <w:rPr>
                <w:rFonts w:ascii="Calibri" w:hAnsi="Calibri"/>
                <w:sz w:val="22"/>
              </w:rPr>
              <w:t>TotalEnergies noted Qatar Gas 2 LNG plant shut down again as of late July</w:t>
            </w:r>
          </w:p>
        </w:tc>
        <w:tc>
          <w:tcPr>
            <w:tcW w:type="dxa" w:w="1728"/>
          </w:tcPr>
          <w:p>
            <w:r>
              <w:rPr>
                <w:rFonts w:ascii="Calibri" w:hAnsi="Calibri"/>
                <w:sz w:val="22"/>
              </w:rPr>
              <w:t>N/A</w:t>
            </w:r>
          </w:p>
        </w:tc>
        <w:tc>
          <w:tcPr>
            <w:tcW w:type="dxa" w:w="1728"/>
          </w:tcPr>
          <w:p>
            <w:r>
              <w:rPr>
                <w:rFonts w:ascii="Calibri" w:hAnsi="Calibri"/>
                <w:sz w:val="22"/>
              </w:rPr>
              <w:t>Negative development; repair timeline extended; XOM working with QatarEnergy on return-generating repair construct</w:t>
            </w:r>
          </w:p>
        </w:tc>
      </w:tr>
    </w:tbl>
    <w:p>
      <w:r>
        <w:rPr>
          <w:rFonts w:ascii="Calibri" w:hAnsi="Calibri"/>
          <w:b/>
          <w:color w:val="525866"/>
          <w:sz w:val="22"/>
        </w:rPr>
        <w:t xml:space="preserve">Source: </w:t>
      </w:r>
      <w:r>
        <w:rPr>
          <w:rFonts w:ascii="Calibri" w:hAnsi="Calibri"/>
          <w:color w:val="525866"/>
          <w:sz w:val="22"/>
        </w:rPr>
        <w:t>XOM Q1 2026 Earnings Call Transcript (May 1, 2026); TotalEnergies Q2 2026 Earnings Call (July 23, 2026); Visible Alpha Consensus Data.</w:t>
      </w:r>
    </w:p>
    <w:p>
      <w:r>
        <w:br w:type="page"/>
      </w:r>
    </w:p>
    <w:p>
      <w:pPr>
        <w:pStyle w:val="Heading1"/>
        <w:pBdr>
          <w:bottom w:val="single" w:sz="4" w:space="1" w:color="FB9120"/>
        </w:pBdr>
      </w:pPr>
      <w:r>
        <w:rPr>
          <w:rFonts w:ascii="Calibri" w:hAnsi="Calibri"/>
          <w:b/>
          <w:color w:val="3B4259"/>
          <w:sz w:val="40"/>
        </w:rPr>
        <w:t>4. Guidance vs. Estimate Revision Tracker</w:t>
      </w:r>
    </w:p>
    <w:p>
      <w:r>
        <w:rPr>
          <w:rFonts w:ascii="Calibri" w:hAnsi="Calibri"/>
          <w:b/>
          <w:color w:val="525866"/>
          <w:sz w:val="22"/>
        </w:rPr>
        <w:t xml:space="preserve">Key Takeaway: </w:t>
      </w:r>
      <w:r>
        <w:rPr>
          <w:rFonts w:ascii="Calibri" w:hAnsi="Calibri"/>
          <w:color w:val="525866"/>
          <w:sz w:val="22"/>
        </w:rPr>
        <w:t xml:space="preserve">Estimates have moved sharply higher since the Q1 print — </w:t>
      </w:r>
      <w:r>
        <w:rPr>
          <w:rFonts w:ascii="Calibri" w:hAnsi="Calibri"/>
          <w:b/>
          <w:color w:val="525866"/>
          <w:sz w:val="22"/>
        </w:rPr>
        <w:t>Q2 2026 EPS consensus is essentially flat vs. the post-Q1 baseline ($3.54 vs. $3.57)</w:t>
      </w:r>
      <w:r>
        <w:rPr>
          <w:rFonts w:ascii="Calibri" w:hAnsi="Calibri"/>
          <w:color w:val="525866"/>
          <w:sz w:val="22"/>
        </w:rPr>
        <w:t>, suggesting the street has already priced in the commodity tailwind; FY2026 EPS has been revised up ~2% since Q1, indicating modest but not aggressive upward revision momentum.</w:t>
      </w:r>
    </w:p>
    <w:tbl>
      <w:tblPr>
        <w:tblStyle w:val="TableGrid"/>
        <w:tblW w:type="auto" w:w="0"/>
        <w:tblLook w:firstColumn="1" w:firstRow="1" w:lastColumn="0" w:lastRow="0" w:noHBand="0" w:noVBand="1" w:val="04A0"/>
      </w:tblPr>
      <w:tblGrid>
        <w:gridCol w:w="1080"/>
        <w:gridCol w:w="1080"/>
        <w:gridCol w:w="1080"/>
        <w:gridCol w:w="1080"/>
        <w:gridCol w:w="1080"/>
        <w:gridCol w:w="1080"/>
        <w:gridCol w:w="1080"/>
        <w:gridCol w:w="1080"/>
      </w:tblGrid>
      <w:tr>
        <w:tc>
          <w:tcPr>
            <w:tcW w:type="dxa" w:w="1080"/>
            <w:shd w:val="clear" w:color="auto" w:fill="3B4259"/>
          </w:tcPr>
          <w:p>
            <w:r>
              <w:rPr>
                <w:rFonts w:ascii="Calibri" w:hAnsi="Calibri"/>
                <w:b/>
                <w:color w:val="FFFFFF"/>
                <w:sz w:val="22"/>
              </w:rPr>
              <w:t>KPI &amp; Period</w:t>
            </w:r>
          </w:p>
        </w:tc>
        <w:tc>
          <w:tcPr>
            <w:tcW w:type="dxa" w:w="1080"/>
            <w:shd w:val="clear" w:color="auto" w:fill="3B4259"/>
          </w:tcPr>
          <w:p>
            <w:r>
              <w:rPr>
                <w:rFonts w:ascii="Calibri" w:hAnsi="Calibri"/>
                <w:b/>
                <w:color w:val="FFFFFF"/>
                <w:sz w:val="22"/>
              </w:rPr>
              <w:t>Estimate ~5 Days Post Q1 Earnings (as of ~May 8, 2026)</w:t>
            </w:r>
          </w:p>
        </w:tc>
        <w:tc>
          <w:tcPr>
            <w:tcW w:type="dxa" w:w="1080"/>
            <w:shd w:val="clear" w:color="auto" w:fill="3B4259"/>
          </w:tcPr>
          <w:p>
            <w:r>
              <w:rPr>
                <w:rFonts w:ascii="Calibri" w:hAnsi="Calibri"/>
                <w:b/>
                <w:color w:val="FFFFFF"/>
                <w:sz w:val="22"/>
              </w:rPr>
              <w:t>Current Consensus (July 30, 2026)</w:t>
            </w:r>
          </w:p>
        </w:tc>
        <w:tc>
          <w:tcPr>
            <w:tcW w:type="dxa" w:w="1080"/>
            <w:shd w:val="clear" w:color="auto" w:fill="3B4259"/>
          </w:tcPr>
          <w:p>
            <w:r>
              <w:rPr>
                <w:rFonts w:ascii="Calibri" w:hAnsi="Calibri"/>
                <w:b/>
                <w:color w:val="FFFFFF"/>
                <w:sz w:val="22"/>
              </w:rPr>
              <w:t>Estimate Δ (%)</w:t>
            </w:r>
          </w:p>
        </w:tc>
        <w:tc>
          <w:tcPr>
            <w:tcW w:type="dxa" w:w="1080"/>
            <w:shd w:val="clear" w:color="auto" w:fill="3B4259"/>
          </w:tcPr>
          <w:p>
            <w:r>
              <w:rPr>
                <w:rFonts w:ascii="Calibri" w:hAnsi="Calibri"/>
                <w:b/>
                <w:color w:val="FFFFFF"/>
                <w:sz w:val="22"/>
              </w:rPr>
              <w:t>Initial Guidance (Q1 Call)</w:t>
            </w:r>
          </w:p>
        </w:tc>
        <w:tc>
          <w:tcPr>
            <w:tcW w:type="dxa" w:w="1080"/>
            <w:shd w:val="clear" w:color="auto" w:fill="3B4259"/>
          </w:tcPr>
          <w:p>
            <w:r>
              <w:rPr>
                <w:rFonts w:ascii="Calibri" w:hAnsi="Calibri"/>
                <w:b/>
                <w:color w:val="FFFFFF"/>
                <w:sz w:val="22"/>
              </w:rPr>
              <w:t>Current Guidance</w:t>
            </w:r>
          </w:p>
        </w:tc>
        <w:tc>
          <w:tcPr>
            <w:tcW w:type="dxa" w:w="1080"/>
            <w:shd w:val="clear" w:color="auto" w:fill="3B4259"/>
          </w:tcPr>
          <w:p>
            <w:r>
              <w:rPr>
                <w:rFonts w:ascii="Calibri" w:hAnsi="Calibri"/>
                <w:b/>
                <w:color w:val="FFFFFF"/>
                <w:sz w:val="22"/>
              </w:rPr>
              <w:t>Guidance Δ</w:t>
            </w:r>
          </w:p>
        </w:tc>
        <w:tc>
          <w:tcPr>
            <w:tcW w:type="dxa" w:w="1080"/>
            <w:shd w:val="clear" w:color="auto" w:fill="3B4259"/>
          </w:tcPr>
          <w:p>
            <w:r>
              <w:rPr>
                <w:rFonts w:ascii="Calibri" w:hAnsi="Calibri"/>
                <w:b/>
                <w:color w:val="FFFFFF"/>
                <w:sz w:val="22"/>
              </w:rPr>
              <w:t>Consensus vs. Guidance (%)</w:t>
            </w:r>
          </w:p>
        </w:tc>
      </w:tr>
      <w:tr>
        <w:tc>
          <w:tcPr>
            <w:tcW w:type="dxa" w:w="1080"/>
          </w:tcPr>
          <w:p>
            <w:r>
              <w:rPr>
                <w:rFonts w:ascii="Calibri" w:hAnsi="Calibri"/>
                <w:sz w:val="22"/>
              </w:rPr>
              <w:t>EPS — Diluted Operating — Q2 2026</w:t>
            </w:r>
          </w:p>
        </w:tc>
        <w:tc>
          <w:tcPr>
            <w:tcW w:type="dxa" w:w="1080"/>
          </w:tcPr>
          <w:p>
            <w:r>
              <w:rPr>
                <w:rFonts w:ascii="Calibri" w:hAnsi="Calibri"/>
                <w:sz w:val="22"/>
              </w:rPr>
              <w:t>$3.57</w:t>
            </w:r>
          </w:p>
        </w:tc>
        <w:tc>
          <w:tcPr>
            <w:tcW w:type="dxa" w:w="1080"/>
          </w:tcPr>
          <w:p>
            <w:r>
              <w:rPr>
                <w:rFonts w:ascii="Calibri" w:hAnsi="Calibri"/>
                <w:sz w:val="22"/>
              </w:rPr>
              <w:t>$3.54</w:t>
            </w:r>
          </w:p>
        </w:tc>
        <w:tc>
          <w:tcPr>
            <w:tcW w:type="dxa" w:w="1080"/>
          </w:tcPr>
          <w:p>
            <w:r>
              <w:rPr>
                <w:rFonts w:ascii="Calibri" w:hAnsi="Calibri"/>
                <w:sz w:val="22"/>
              </w:rPr>
              <w:t>-0.8%</w:t>
            </w:r>
          </w:p>
        </w:tc>
        <w:tc>
          <w:tcPr>
            <w:tcW w:type="dxa" w:w="1080"/>
          </w:tcPr>
          <w:p>
            <w:r>
              <w:rPr>
                <w:rFonts w:ascii="Calibri" w:hAnsi="Calibri"/>
                <w:sz w:val="22"/>
              </w:rPr>
              <w:t>No explicit quarterly guide</w:t>
            </w:r>
          </w:p>
        </w:tc>
        <w:tc>
          <w:tcPr>
            <w:tcW w:type="dxa" w:w="1080"/>
          </w:tcPr>
          <w:p>
            <w:r>
              <w:rPr>
                <w:rFonts w:ascii="Calibri" w:hAnsi="Calibri"/>
                <w:sz w:val="22"/>
              </w:rPr>
              <w:t>No explicit quarterly guide</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EPS — Diluted Operating — FY2026</w:t>
            </w:r>
          </w:p>
        </w:tc>
        <w:tc>
          <w:tcPr>
            <w:tcW w:type="dxa" w:w="1080"/>
          </w:tcPr>
          <w:p>
            <w:r>
              <w:rPr>
                <w:rFonts w:ascii="Calibri" w:hAnsi="Calibri"/>
                <w:sz w:val="22"/>
              </w:rPr>
              <w:t>$10.74</w:t>
            </w:r>
          </w:p>
        </w:tc>
        <w:tc>
          <w:tcPr>
            <w:tcW w:type="dxa" w:w="1080"/>
          </w:tcPr>
          <w:p>
            <w:r>
              <w:rPr>
                <w:rFonts w:ascii="Calibri" w:hAnsi="Calibri"/>
                <w:sz w:val="22"/>
              </w:rPr>
              <w:t>$10.95</w:t>
            </w:r>
          </w:p>
        </w:tc>
        <w:tc>
          <w:tcPr>
            <w:tcW w:type="dxa" w:w="1080"/>
          </w:tcPr>
          <w:p>
            <w:r>
              <w:rPr>
                <w:rFonts w:ascii="Calibri" w:hAnsi="Calibri"/>
                <w:b/>
                <w:color w:val="30A46C"/>
                <w:sz w:val="22"/>
              </w:rPr>
              <w:t>+2.0%</w:t>
            </w:r>
          </w:p>
        </w:tc>
        <w:tc>
          <w:tcPr>
            <w:tcW w:type="dxa" w:w="1080"/>
          </w:tcPr>
          <w:p>
            <w:r>
              <w:rPr>
                <w:rFonts w:ascii="Calibri" w:hAnsi="Calibri"/>
                <w:sz w:val="22"/>
              </w:rPr>
              <w:t>No explicit EPS guide; FY framework maintained</w:t>
            </w:r>
          </w:p>
        </w:tc>
        <w:tc>
          <w:tcPr>
            <w:tcW w:type="dxa" w:w="1080"/>
          </w:tcPr>
          <w:p>
            <w:r>
              <w:rPr>
                <w:rFonts w:ascii="Calibri" w:hAnsi="Calibri"/>
                <w:sz w:val="22"/>
              </w:rPr>
              <w:t>No explicit EPS guide; FY framework maintained</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EPS — Diluted Operating — FY2027</w:t>
            </w:r>
          </w:p>
        </w:tc>
        <w:tc>
          <w:tcPr>
            <w:tcW w:type="dxa" w:w="1080"/>
          </w:tcPr>
          <w:p>
            <w:r>
              <w:rPr>
                <w:rFonts w:ascii="Calibri" w:hAnsi="Calibri"/>
                <w:sz w:val="22"/>
              </w:rPr>
              <w:t>$10.44</w:t>
            </w:r>
          </w:p>
        </w:tc>
        <w:tc>
          <w:tcPr>
            <w:tcW w:type="dxa" w:w="1080"/>
          </w:tcPr>
          <w:p>
            <w:r>
              <w:rPr>
                <w:rFonts w:ascii="Calibri" w:hAnsi="Calibri"/>
                <w:sz w:val="22"/>
              </w:rPr>
              <w:t>$10.58</w:t>
            </w:r>
          </w:p>
        </w:tc>
        <w:tc>
          <w:tcPr>
            <w:tcW w:type="dxa" w:w="1080"/>
          </w:tcPr>
          <w:p>
            <w:r>
              <w:rPr>
                <w:rFonts w:ascii="Calibri" w:hAnsi="Calibri"/>
                <w:b/>
                <w:color w:val="30A46C"/>
                <w:sz w:val="22"/>
              </w:rPr>
              <w:t>+1.3%</w:t>
            </w:r>
          </w:p>
        </w:tc>
        <w:tc>
          <w:tcPr>
            <w:tcW w:type="dxa" w:w="1080"/>
          </w:tcPr>
          <w:p>
            <w:r>
              <w:rPr>
                <w:rFonts w:ascii="Calibri" w:hAnsi="Calibri"/>
                <w:sz w:val="22"/>
              </w:rPr>
              <w:t>No explicit FY2027 guide</w:t>
            </w:r>
          </w:p>
        </w:tc>
        <w:tc>
          <w:tcPr>
            <w:tcW w:type="dxa" w:w="1080"/>
          </w:tcPr>
          <w:p>
            <w:r>
              <w:rPr>
                <w:rFonts w:ascii="Calibri" w:hAnsi="Calibri"/>
                <w:sz w:val="22"/>
              </w:rPr>
              <w:t>No explicit FY2027 guide</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Total Production — Q2 2026 (Mboe/d)</w:t>
            </w:r>
          </w:p>
        </w:tc>
        <w:tc>
          <w:tcPr>
            <w:tcW w:type="dxa" w:w="1080"/>
          </w:tcPr>
          <w:p>
            <w:r>
              <w:rPr>
                <w:rFonts w:ascii="Calibri" w:hAnsi="Calibri"/>
                <w:sz w:val="22"/>
              </w:rPr>
              <w:t>4,301</w:t>
            </w:r>
          </w:p>
        </w:tc>
        <w:tc>
          <w:tcPr>
            <w:tcW w:type="dxa" w:w="1080"/>
          </w:tcPr>
          <w:p>
            <w:r>
              <w:rPr>
                <w:rFonts w:ascii="Calibri" w:hAnsi="Calibri"/>
                <w:sz w:val="22"/>
              </w:rPr>
              <w:t>4,254</w:t>
            </w:r>
          </w:p>
        </w:tc>
        <w:tc>
          <w:tcPr>
            <w:tcW w:type="dxa" w:w="1080"/>
          </w:tcPr>
          <w:p>
            <w:r>
              <w:rPr>
                <w:rFonts w:ascii="Calibri" w:hAnsi="Calibri"/>
                <w:b/>
                <w:color w:val="E5484D"/>
                <w:sz w:val="22"/>
              </w:rPr>
              <w:t>-1.1%</w:t>
            </w:r>
          </w:p>
        </w:tc>
        <w:tc>
          <w:tcPr>
            <w:tcW w:type="dxa" w:w="1080"/>
          </w:tcPr>
          <w:p>
            <w:r>
              <w:rPr>
                <w:rFonts w:ascii="Calibri" w:hAnsi="Calibri"/>
                <w:sz w:val="22"/>
              </w:rPr>
              <w:t>Permian FY2026: 1.8 MMboe/d; Middle East disruptions ongoing</w:t>
            </w:r>
          </w:p>
        </w:tc>
        <w:tc>
          <w:tcPr>
            <w:tcW w:type="dxa" w:w="1080"/>
          </w:tcPr>
          <w:p>
            <w:r>
              <w:rPr>
                <w:rFonts w:ascii="Calibri" w:hAnsi="Calibri"/>
                <w:sz w:val="22"/>
              </w:rPr>
              <w:t>Unchanged; Middle East disruptions persist</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Total Production — FY2026 (Mboe/d)</w:t>
            </w:r>
          </w:p>
        </w:tc>
        <w:tc>
          <w:tcPr>
            <w:tcW w:type="dxa" w:w="1080"/>
          </w:tcPr>
          <w:p>
            <w:r>
              <w:rPr>
                <w:rFonts w:ascii="Calibri" w:hAnsi="Calibri"/>
                <w:sz w:val="22"/>
              </w:rPr>
              <w:t>4,658</w:t>
            </w:r>
          </w:p>
        </w:tc>
        <w:tc>
          <w:tcPr>
            <w:tcW w:type="dxa" w:w="1080"/>
          </w:tcPr>
          <w:p>
            <w:r>
              <w:rPr>
                <w:rFonts w:ascii="Calibri" w:hAnsi="Calibri"/>
                <w:sz w:val="22"/>
              </w:rPr>
              <w:t>4,629</w:t>
            </w:r>
          </w:p>
        </w:tc>
        <w:tc>
          <w:tcPr>
            <w:tcW w:type="dxa" w:w="1080"/>
          </w:tcPr>
          <w:p>
            <w:r>
              <w:rPr>
                <w:rFonts w:ascii="Calibri" w:hAnsi="Calibri"/>
                <w:sz w:val="22"/>
              </w:rPr>
              <w:t>-0.6%</w:t>
            </w:r>
          </w:p>
        </w:tc>
        <w:tc>
          <w:tcPr>
            <w:tcW w:type="dxa" w:w="1080"/>
          </w:tcPr>
          <w:p>
            <w:r>
              <w:rPr>
                <w:rFonts w:ascii="Calibri" w:hAnsi="Calibri"/>
                <w:sz w:val="22"/>
              </w:rPr>
              <w:t>Permian FY2026: 1.8 MMboe/d; Guyana 5th FPSO H2 2026</w:t>
            </w:r>
          </w:p>
        </w:tc>
        <w:tc>
          <w:tcPr>
            <w:tcW w:type="dxa" w:w="1080"/>
          </w:tcPr>
          <w:p>
            <w:r>
              <w:rPr>
                <w:rFonts w:ascii="Calibri" w:hAnsi="Calibri"/>
                <w:sz w:val="22"/>
              </w:rPr>
              <w:t>Unchanged</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Free Cash Flow — Q2 2026 ($B)</w:t>
            </w:r>
          </w:p>
        </w:tc>
        <w:tc>
          <w:tcPr>
            <w:tcW w:type="dxa" w:w="1080"/>
          </w:tcPr>
          <w:p>
            <w:r>
              <w:rPr>
                <w:rFonts w:ascii="Calibri" w:hAnsi="Calibri"/>
                <w:sz w:val="22"/>
              </w:rPr>
              <w:t>$14.74B</w:t>
            </w:r>
          </w:p>
        </w:tc>
        <w:tc>
          <w:tcPr>
            <w:tcW w:type="dxa" w:w="1080"/>
          </w:tcPr>
          <w:p>
            <w:r>
              <w:rPr>
                <w:rFonts w:ascii="Calibri" w:hAnsi="Calibri"/>
                <w:sz w:val="22"/>
              </w:rPr>
              <w:t>$14.66B</w:t>
            </w:r>
          </w:p>
        </w:tc>
        <w:tc>
          <w:tcPr>
            <w:tcW w:type="dxa" w:w="1080"/>
          </w:tcPr>
          <w:p>
            <w:r>
              <w:rPr>
                <w:rFonts w:ascii="Calibri" w:hAnsi="Calibri"/>
                <w:sz w:val="22"/>
              </w:rPr>
              <w:t>-0.5%</w:t>
            </w:r>
          </w:p>
        </w:tc>
        <w:tc>
          <w:tcPr>
            <w:tcW w:type="dxa" w:w="1080"/>
          </w:tcPr>
          <w:p>
            <w:r>
              <w:rPr>
                <w:rFonts w:ascii="Calibri" w:hAnsi="Calibri"/>
                <w:sz w:val="22"/>
              </w:rPr>
              <w:t>No explicit quarterly FCF guide</w:t>
            </w:r>
          </w:p>
        </w:tc>
        <w:tc>
          <w:tcPr>
            <w:tcW w:type="dxa" w:w="1080"/>
          </w:tcPr>
          <w:p>
            <w:r>
              <w:rPr>
                <w:rFonts w:ascii="Calibri" w:hAnsi="Calibri"/>
                <w:sz w:val="22"/>
              </w:rPr>
              <w:t>No explicit quarterly FCF guide</w:t>
            </w:r>
          </w:p>
        </w:tc>
        <w:tc>
          <w:tcPr>
            <w:tcW w:type="dxa" w:w="1080"/>
          </w:tcPr>
          <w:p>
            <w:r>
              <w:rPr>
                <w:rFonts w:ascii="Calibri" w:hAnsi="Calibri"/>
                <w:sz w:val="22"/>
              </w:rPr>
              <w:t>N/A</w:t>
            </w:r>
          </w:p>
        </w:tc>
        <w:tc>
          <w:tcPr>
            <w:tcW w:type="dxa" w:w="1080"/>
          </w:tcPr>
          <w:p>
            <w:r>
              <w:rPr>
                <w:rFonts w:ascii="Calibri" w:hAnsi="Calibri"/>
                <w:sz w:val="22"/>
              </w:rPr>
              <w:t>N/A</w:t>
            </w:r>
          </w:p>
        </w:tc>
      </w:tr>
      <w:tr>
        <w:tc>
          <w:tcPr>
            <w:tcW w:type="dxa" w:w="1080"/>
          </w:tcPr>
          <w:p>
            <w:r>
              <w:rPr>
                <w:rFonts w:ascii="Calibri" w:hAnsi="Calibri"/>
                <w:sz w:val="22"/>
              </w:rPr>
              <w:t>Free Cash Flow — FY2026 ($B)</w:t>
            </w:r>
          </w:p>
        </w:tc>
        <w:tc>
          <w:tcPr>
            <w:tcW w:type="dxa" w:w="1080"/>
          </w:tcPr>
          <w:p>
            <w:r>
              <w:rPr>
                <w:rFonts w:ascii="Calibri" w:hAnsi="Calibri"/>
                <w:sz w:val="22"/>
              </w:rPr>
              <w:t>$43.94B</w:t>
            </w:r>
          </w:p>
        </w:tc>
        <w:tc>
          <w:tcPr>
            <w:tcW w:type="dxa" w:w="1080"/>
          </w:tcPr>
          <w:p>
            <w:r>
              <w:rPr>
                <w:rFonts w:ascii="Calibri" w:hAnsi="Calibri"/>
                <w:sz w:val="22"/>
              </w:rPr>
              <w:t>$44.84B</w:t>
            </w:r>
          </w:p>
        </w:tc>
        <w:tc>
          <w:tcPr>
            <w:tcW w:type="dxa" w:w="1080"/>
          </w:tcPr>
          <w:p>
            <w:r>
              <w:rPr>
                <w:rFonts w:ascii="Calibri" w:hAnsi="Calibri"/>
                <w:b/>
                <w:color w:val="30A46C"/>
                <w:sz w:val="22"/>
              </w:rPr>
              <w:t>+2.0%</w:t>
            </w:r>
          </w:p>
        </w:tc>
        <w:tc>
          <w:tcPr>
            <w:tcW w:type="dxa" w:w="1080"/>
          </w:tcPr>
          <w:p>
            <w:r>
              <w:rPr>
                <w:rFonts w:ascii="Calibri" w:hAnsi="Calibri"/>
                <w:sz w:val="22"/>
              </w:rPr>
              <w:t>No explicit FCF guide; FY framework maintained</w:t>
            </w:r>
          </w:p>
        </w:tc>
        <w:tc>
          <w:tcPr>
            <w:tcW w:type="dxa" w:w="1080"/>
          </w:tcPr>
          <w:p>
            <w:r>
              <w:rPr>
                <w:rFonts w:ascii="Calibri" w:hAnsi="Calibri"/>
                <w:sz w:val="22"/>
              </w:rPr>
              <w:t>No explicit FCF guide; FY framework maintained</w:t>
            </w:r>
          </w:p>
        </w:tc>
        <w:tc>
          <w:tcPr>
            <w:tcW w:type="dxa" w:w="1080"/>
          </w:tcPr>
          <w:p>
            <w:r>
              <w:rPr>
                <w:rFonts w:ascii="Calibri" w:hAnsi="Calibri"/>
                <w:sz w:val="22"/>
              </w:rPr>
              <w:t>N/A</w:t>
            </w:r>
          </w:p>
        </w:tc>
        <w:tc>
          <w:tcPr>
            <w:tcW w:type="dxa" w:w="1080"/>
          </w:tcPr>
          <w:p>
            <w:r>
              <w:rPr>
                <w:rFonts w:ascii="Calibri" w:hAnsi="Calibri"/>
                <w:sz w:val="22"/>
              </w:rPr>
              <w:t>N/A</w:t>
            </w:r>
          </w:p>
        </w:tc>
      </w:tr>
    </w:tbl>
    <w:p>
      <w:r>
        <w:rPr>
          <w:rFonts w:ascii="Calibri" w:hAnsi="Calibri"/>
          <w:color w:val="525866"/>
          <w:sz w:val="22"/>
        </w:rPr>
        <w:t>The revision picture is constructive but not aggressive: FY2026 EPS and FCF are both up ~2% since the Q1 print, reflecting the commodity tailwind, while Q2 2026 estimates are essentially flat — the street has priced in the Brent uplift but not added incremental cushion. Production estimates have drifted slightly lower, consistent with ongoing Middle East disruptions. The gap between current consensus and any formal guidance is not meaningful since XOM does not provide explicit quarterly EPS or FCF guidance; the relevant comparison is whether the commodity environment and operational execution can deliver above the implied run-rate.</w:t>
      </w:r>
    </w:p>
    <w:p>
      <w:r>
        <w:rPr>
          <w:rFonts w:ascii="Calibri" w:hAnsi="Calibri"/>
          <w:b/>
          <w:color w:val="525866"/>
          <w:sz w:val="22"/>
        </w:rPr>
        <w:t xml:space="preserve">Source: </w:t>
      </w:r>
      <w:r>
        <w:rPr>
          <w:rFonts w:ascii="Calibri" w:hAnsi="Calibri"/>
          <w:color w:val="525866"/>
          <w:sz w:val="22"/>
        </w:rPr>
        <w:t>Visible Alpha Consensus and Actuals Data (EPS — Diluted — Operating: https://insights.visiblealpha.com/mex/XOM/NMV/IS; Total worldwide liquids and gas production/day: https://insights.visiblealpha.com/mex/XOM/NMV/KV; Free cash flow: https://insights.visiblealpha.com/mex/XOM/NMV/CF). As-of date: May 8, 2026 (5 trading days post Q1 earnings).</w:t>
      </w:r>
    </w:p>
    <w:p>
      <w:r>
        <w:br w:type="page"/>
      </w:r>
    </w:p>
    <w:p>
      <w:pPr>
        <w:pStyle w:val="Heading1"/>
        <w:pBdr>
          <w:bottom w:val="single" w:sz="4" w:space="1" w:color="FB9120"/>
        </w:pBdr>
      </w:pPr>
      <w:r>
        <w:rPr>
          <w:rFonts w:ascii="Calibri" w:hAnsi="Calibri"/>
          <w:b/>
          <w:color w:val="3B4259"/>
          <w:sz w:val="40"/>
        </w:rPr>
        <w:t>5. Stock Performance</w:t>
      </w:r>
    </w:p>
    <w:p>
      <w:r>
        <w:rPr>
          <w:rFonts w:ascii="Calibri" w:hAnsi="Calibri"/>
          <w:b/>
          <w:color w:val="525866"/>
          <w:sz w:val="22"/>
        </w:rPr>
        <w:t xml:space="preserve">Key Takeaway: </w:t>
      </w:r>
      <w:r>
        <w:rPr>
          <w:rFonts w:ascii="Calibri" w:hAnsi="Calibri"/>
          <w:color w:val="525866"/>
          <w:sz w:val="22"/>
        </w:rPr>
        <w:t xml:space="preserve">XOM has underperformed both XLE and SPY since the May 1 earnings date on a net basis, but the pattern is bifurcated — </w:t>
      </w:r>
      <w:r>
        <w:rPr>
          <w:rFonts w:ascii="Calibri" w:hAnsi="Calibri"/>
          <w:b/>
          <w:color w:val="525866"/>
          <w:sz w:val="22"/>
        </w:rPr>
        <w:t>a sharp de-rating through late June (XOM -10.5% vs. SPY +3.6%) followed by a strong July recovery (+14.8% in the last month)</w:t>
      </w:r>
      <w:r>
        <w:rPr>
          <w:rFonts w:ascii="Calibri" w:hAnsi="Calibri"/>
          <w:color w:val="525866"/>
          <w:sz w:val="22"/>
        </w:rPr>
        <w:t xml:space="preserve"> as the commodity environment re-accelerated; the 1-month multiple expansion of +11.5% on EV/EBITDA confirms the July rally was sentiment/multiple-driven rather than estimate-driven.</w:t>
      </w:r>
    </w:p>
    <w:p>
      <w:pPr>
        <w:pStyle w:val="Heading2"/>
      </w:pPr>
      <w:r>
        <w:rPr>
          <w:rFonts w:ascii="Calibri" w:hAnsi="Calibri"/>
          <w:b/>
          <w:color w:val="3B4259"/>
          <w:sz w:val="28"/>
        </w:rPr>
        <w:t>Indexed Price Performance: XOM vs. XLE vs. SPY (Since May 1, 2026 — Last Earnings Date)</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shd w:val="clear" w:color="auto" w:fill="3B4259"/>
          </w:tcPr>
          <w:p>
            <w:r>
              <w:rPr>
                <w:rFonts w:ascii="Calibri" w:hAnsi="Calibri"/>
                <w:b/>
                <w:color w:val="FFFFFF"/>
                <w:sz w:val="22"/>
              </w:rPr>
              <w:t>Date</w:t>
            </w:r>
          </w:p>
        </w:tc>
        <w:tc>
          <w:tcPr>
            <w:tcW w:type="dxa" w:w="1728"/>
            <w:shd w:val="clear" w:color="auto" w:fill="3B4259"/>
          </w:tcPr>
          <w:p>
            <w:r>
              <w:rPr>
                <w:rFonts w:ascii="Calibri" w:hAnsi="Calibri"/>
                <w:b/>
                <w:color w:val="FFFFFF"/>
                <w:sz w:val="22"/>
              </w:rPr>
              <w:t>XOM (Indexed)</w:t>
            </w:r>
          </w:p>
        </w:tc>
        <w:tc>
          <w:tcPr>
            <w:tcW w:type="dxa" w:w="1728"/>
            <w:shd w:val="clear" w:color="auto" w:fill="3B4259"/>
          </w:tcPr>
          <w:p>
            <w:r>
              <w:rPr>
                <w:rFonts w:ascii="Calibri" w:hAnsi="Calibri"/>
                <w:b/>
                <w:color w:val="FFFFFF"/>
                <w:sz w:val="22"/>
              </w:rPr>
              <w:t>XLE (Indexed)</w:t>
            </w:r>
          </w:p>
        </w:tc>
        <w:tc>
          <w:tcPr>
            <w:tcW w:type="dxa" w:w="1728"/>
            <w:shd w:val="clear" w:color="auto" w:fill="3B4259"/>
          </w:tcPr>
          <w:p>
            <w:r>
              <w:rPr>
                <w:rFonts w:ascii="Calibri" w:hAnsi="Calibri"/>
                <w:b/>
                <w:color w:val="FFFFFF"/>
                <w:sz w:val="22"/>
              </w:rPr>
              <w:t>SPY (Indexed)</w:t>
            </w:r>
          </w:p>
        </w:tc>
        <w:tc>
          <w:tcPr>
            <w:tcW w:type="dxa" w:w="1728"/>
            <w:shd w:val="clear" w:color="auto" w:fill="3B4259"/>
          </w:tcPr>
          <w:p>
            <w:r>
              <w:rPr>
                <w:rFonts w:ascii="Calibri" w:hAnsi="Calibri"/>
                <w:b/>
                <w:color w:val="FFFFFF"/>
                <w:sz w:val="22"/>
              </w:rPr>
              <w:t>XOM Price ($)</w:t>
            </w:r>
          </w:p>
        </w:tc>
      </w:tr>
      <w:tr>
        <w:tc>
          <w:tcPr>
            <w:tcW w:type="dxa" w:w="1728"/>
          </w:tcPr>
          <w:p>
            <w:r>
              <w:rPr>
                <w:rFonts w:ascii="Calibri" w:hAnsi="Calibri"/>
                <w:sz w:val="22"/>
              </w:rPr>
              <w:t>May 1, 2026 (Base — Last Earnings)</w:t>
            </w:r>
          </w:p>
        </w:tc>
        <w:tc>
          <w:tcPr>
            <w:tcW w:type="dxa" w:w="1728"/>
          </w:tcPr>
          <w:p>
            <w:r>
              <w:rPr>
                <w:rFonts w:ascii="Calibri" w:hAnsi="Calibri"/>
                <w:sz w:val="22"/>
              </w:rPr>
              <w:t>100.0</w:t>
            </w:r>
          </w:p>
        </w:tc>
        <w:tc>
          <w:tcPr>
            <w:tcW w:type="dxa" w:w="1728"/>
          </w:tcPr>
          <w:p>
            <w:r>
              <w:rPr>
                <w:rFonts w:ascii="Calibri" w:hAnsi="Calibri"/>
                <w:sz w:val="22"/>
              </w:rPr>
              <w:t>100.0</w:t>
            </w:r>
          </w:p>
        </w:tc>
        <w:tc>
          <w:tcPr>
            <w:tcW w:type="dxa" w:w="1728"/>
          </w:tcPr>
          <w:p>
            <w:r>
              <w:rPr>
                <w:rFonts w:ascii="Calibri" w:hAnsi="Calibri"/>
                <w:sz w:val="22"/>
              </w:rPr>
              <w:t>100.0</w:t>
            </w:r>
          </w:p>
        </w:tc>
        <w:tc>
          <w:tcPr>
            <w:tcW w:type="dxa" w:w="1728"/>
          </w:tcPr>
          <w:p>
            <w:r>
              <w:rPr>
                <w:rFonts w:ascii="Calibri" w:hAnsi="Calibri"/>
                <w:sz w:val="22"/>
              </w:rPr>
              <w:t>$152.75</w:t>
            </w:r>
          </w:p>
        </w:tc>
      </w:tr>
      <w:tr>
        <w:tc>
          <w:tcPr>
            <w:tcW w:type="dxa" w:w="1728"/>
          </w:tcPr>
          <w:p>
            <w:r>
              <w:rPr>
                <w:rFonts w:ascii="Calibri" w:hAnsi="Calibri"/>
                <w:sz w:val="22"/>
              </w:rPr>
              <w:t>May 8, 2026 (~5 days post earnings)</w:t>
            </w:r>
          </w:p>
        </w:tc>
        <w:tc>
          <w:tcPr>
            <w:tcW w:type="dxa" w:w="1728"/>
          </w:tcPr>
          <w:p>
            <w:r>
              <w:rPr>
                <w:rFonts w:ascii="Calibri" w:hAnsi="Calibri"/>
                <w:sz w:val="22"/>
              </w:rPr>
              <w:t>94.6</w:t>
            </w:r>
          </w:p>
        </w:tc>
        <w:tc>
          <w:tcPr>
            <w:tcW w:type="dxa" w:w="1728"/>
          </w:tcPr>
          <w:p>
            <w:r>
              <w:rPr>
                <w:rFonts w:ascii="Calibri" w:hAnsi="Calibri"/>
                <w:sz w:val="22"/>
              </w:rPr>
              <w:t>94.6</w:t>
            </w:r>
          </w:p>
        </w:tc>
        <w:tc>
          <w:tcPr>
            <w:tcW w:type="dxa" w:w="1728"/>
          </w:tcPr>
          <w:p>
            <w:r>
              <w:rPr>
                <w:rFonts w:ascii="Calibri" w:hAnsi="Calibri"/>
                <w:sz w:val="22"/>
              </w:rPr>
              <w:t>102.4</w:t>
            </w:r>
          </w:p>
        </w:tc>
        <w:tc>
          <w:tcPr>
            <w:tcW w:type="dxa" w:w="1728"/>
          </w:tcPr>
          <w:p>
            <w:r>
              <w:rPr>
                <w:rFonts w:ascii="Calibri" w:hAnsi="Calibri"/>
                <w:sz w:val="22"/>
              </w:rPr>
              <w:t>$144.57</w:t>
            </w:r>
          </w:p>
        </w:tc>
      </w:tr>
      <w:tr>
        <w:tc>
          <w:tcPr>
            <w:tcW w:type="dxa" w:w="1728"/>
          </w:tcPr>
          <w:p>
            <w:r>
              <w:rPr>
                <w:rFonts w:ascii="Calibri" w:hAnsi="Calibri"/>
                <w:sz w:val="22"/>
              </w:rPr>
              <w:t>May 19, 2026 (Peak — post-earnings recovery)</w:t>
            </w:r>
          </w:p>
        </w:tc>
        <w:tc>
          <w:tcPr>
            <w:tcW w:type="dxa" w:w="1728"/>
          </w:tcPr>
          <w:p>
            <w:r>
              <w:rPr>
                <w:rFonts w:ascii="Calibri" w:hAnsi="Calibri"/>
                <w:sz w:val="22"/>
              </w:rPr>
              <w:t>106.4</w:t>
            </w:r>
          </w:p>
        </w:tc>
        <w:tc>
          <w:tcPr>
            <w:tcW w:type="dxa" w:w="1728"/>
          </w:tcPr>
          <w:p>
            <w:r>
              <w:rPr>
                <w:rFonts w:ascii="Calibri" w:hAnsi="Calibri"/>
                <w:sz w:val="22"/>
              </w:rPr>
              <w:t>104.1</w:t>
            </w:r>
          </w:p>
        </w:tc>
        <w:tc>
          <w:tcPr>
            <w:tcW w:type="dxa" w:w="1728"/>
          </w:tcPr>
          <w:p>
            <w:r>
              <w:rPr>
                <w:rFonts w:ascii="Calibri" w:hAnsi="Calibri"/>
                <w:sz w:val="22"/>
              </w:rPr>
              <w:t>101.8</w:t>
            </w:r>
          </w:p>
        </w:tc>
        <w:tc>
          <w:tcPr>
            <w:tcW w:type="dxa" w:w="1728"/>
          </w:tcPr>
          <w:p>
            <w:r>
              <w:rPr>
                <w:rFonts w:ascii="Calibri" w:hAnsi="Calibri"/>
                <w:sz w:val="22"/>
              </w:rPr>
              <w:t>$162.55</w:t>
            </w:r>
          </w:p>
        </w:tc>
      </w:tr>
      <w:tr>
        <w:tc>
          <w:tcPr>
            <w:tcW w:type="dxa" w:w="1728"/>
          </w:tcPr>
          <w:p>
            <w:r>
              <w:rPr>
                <w:rFonts w:ascii="Calibri" w:hAnsi="Calibri"/>
                <w:sz w:val="22"/>
              </w:rPr>
              <w:t>June 30, 2026 (Trough — end of Q2)</w:t>
            </w:r>
          </w:p>
        </w:tc>
        <w:tc>
          <w:tcPr>
            <w:tcW w:type="dxa" w:w="1728"/>
          </w:tcPr>
          <w:p>
            <w:r>
              <w:rPr>
                <w:rFonts w:ascii="Calibri" w:hAnsi="Calibri"/>
                <w:b/>
                <w:color w:val="E5484D"/>
                <w:sz w:val="22"/>
              </w:rPr>
              <w:t>89.5</w:t>
            </w:r>
          </w:p>
        </w:tc>
        <w:tc>
          <w:tcPr>
            <w:tcW w:type="dxa" w:w="1728"/>
          </w:tcPr>
          <w:p>
            <w:r>
              <w:rPr>
                <w:rFonts w:ascii="Calibri" w:hAnsi="Calibri"/>
                <w:sz w:val="22"/>
              </w:rPr>
              <w:t>90.2</w:t>
            </w:r>
          </w:p>
        </w:tc>
        <w:tc>
          <w:tcPr>
            <w:tcW w:type="dxa" w:w="1728"/>
          </w:tcPr>
          <w:p>
            <w:r>
              <w:rPr>
                <w:rFonts w:ascii="Calibri" w:hAnsi="Calibri"/>
                <w:sz w:val="22"/>
              </w:rPr>
              <w:t>103.6</w:t>
            </w:r>
          </w:p>
        </w:tc>
        <w:tc>
          <w:tcPr>
            <w:tcW w:type="dxa" w:w="1728"/>
          </w:tcPr>
          <w:p>
            <w:r>
              <w:rPr>
                <w:rFonts w:ascii="Calibri" w:hAnsi="Calibri"/>
                <w:sz w:val="22"/>
              </w:rPr>
              <w:t>$136.72</w:t>
            </w:r>
          </w:p>
        </w:tc>
      </w:tr>
      <w:tr>
        <w:tc>
          <w:tcPr>
            <w:tcW w:type="dxa" w:w="1728"/>
          </w:tcPr>
          <w:p>
            <w:r>
              <w:rPr>
                <w:rFonts w:ascii="Calibri" w:hAnsi="Calibri"/>
                <w:sz w:val="22"/>
              </w:rPr>
              <w:t>July 1, 2026 (Redomiciliation effective)</w:t>
            </w:r>
          </w:p>
        </w:tc>
        <w:tc>
          <w:tcPr>
            <w:tcW w:type="dxa" w:w="1728"/>
          </w:tcPr>
          <w:p>
            <w:r>
              <w:rPr>
                <w:rFonts w:ascii="Calibri" w:hAnsi="Calibri"/>
                <w:sz w:val="22"/>
              </w:rPr>
              <w:t>89.2</w:t>
            </w:r>
          </w:p>
        </w:tc>
        <w:tc>
          <w:tcPr>
            <w:tcW w:type="dxa" w:w="1728"/>
          </w:tcPr>
          <w:p>
            <w:r>
              <w:rPr>
                <w:rFonts w:ascii="Calibri" w:hAnsi="Calibri"/>
                <w:sz w:val="22"/>
              </w:rPr>
              <w:t>89.7</w:t>
            </w:r>
          </w:p>
        </w:tc>
        <w:tc>
          <w:tcPr>
            <w:tcW w:type="dxa" w:w="1728"/>
          </w:tcPr>
          <w:p>
            <w:r>
              <w:rPr>
                <w:rFonts w:ascii="Calibri" w:hAnsi="Calibri"/>
                <w:sz w:val="22"/>
              </w:rPr>
              <w:t>103.5</w:t>
            </w:r>
          </w:p>
        </w:tc>
        <w:tc>
          <w:tcPr>
            <w:tcW w:type="dxa" w:w="1728"/>
          </w:tcPr>
          <w:p>
            <w:r>
              <w:rPr>
                <w:rFonts w:ascii="Calibri" w:hAnsi="Calibri"/>
                <w:sz w:val="22"/>
              </w:rPr>
              <w:t>$136.28</w:t>
            </w:r>
          </w:p>
        </w:tc>
      </w:tr>
      <w:tr>
        <w:tc>
          <w:tcPr>
            <w:tcW w:type="dxa" w:w="1728"/>
          </w:tcPr>
          <w:p>
            <w:r>
              <w:rPr>
                <w:rFonts w:ascii="Calibri" w:hAnsi="Calibri"/>
                <w:sz w:val="22"/>
              </w:rPr>
              <w:t>July 21, 2026 (Earnings date announcement)</w:t>
            </w:r>
          </w:p>
        </w:tc>
        <w:tc>
          <w:tcPr>
            <w:tcW w:type="dxa" w:w="1728"/>
          </w:tcPr>
          <w:p>
            <w:r>
              <w:rPr>
                <w:rFonts w:ascii="Calibri" w:hAnsi="Calibri"/>
                <w:sz w:val="22"/>
              </w:rPr>
              <w:t>99.3</w:t>
            </w:r>
          </w:p>
        </w:tc>
        <w:tc>
          <w:tcPr>
            <w:tcW w:type="dxa" w:w="1728"/>
          </w:tcPr>
          <w:p>
            <w:r>
              <w:rPr>
                <w:rFonts w:ascii="Calibri" w:hAnsi="Calibri"/>
                <w:sz w:val="22"/>
              </w:rPr>
              <w:t>99.4</w:t>
            </w:r>
          </w:p>
        </w:tc>
        <w:tc>
          <w:tcPr>
            <w:tcW w:type="dxa" w:w="1728"/>
          </w:tcPr>
          <w:p>
            <w:r>
              <w:rPr>
                <w:rFonts w:ascii="Calibri" w:hAnsi="Calibri"/>
                <w:sz w:val="22"/>
              </w:rPr>
              <w:t>103.8</w:t>
            </w:r>
          </w:p>
        </w:tc>
        <w:tc>
          <w:tcPr>
            <w:tcW w:type="dxa" w:w="1728"/>
          </w:tcPr>
          <w:p>
            <w:r>
              <w:rPr>
                <w:rFonts w:ascii="Calibri" w:hAnsi="Calibri"/>
                <w:sz w:val="22"/>
              </w:rPr>
              <w:t>$151.71</w:t>
            </w:r>
          </w:p>
        </w:tc>
      </w:tr>
      <w:tr>
        <w:tc>
          <w:tcPr>
            <w:tcW w:type="dxa" w:w="1728"/>
          </w:tcPr>
          <w:p>
            <w:r>
              <w:rPr>
                <w:rFonts w:ascii="Calibri" w:hAnsi="Calibri"/>
                <w:sz w:val="22"/>
              </w:rPr>
              <w:t>July 30, 2026 (Current — day before earnings)</w:t>
            </w:r>
          </w:p>
        </w:tc>
        <w:tc>
          <w:tcPr>
            <w:tcW w:type="dxa" w:w="1728"/>
          </w:tcPr>
          <w:p>
            <w:r>
              <w:rPr>
                <w:rFonts w:ascii="Calibri" w:hAnsi="Calibri"/>
                <w:b/>
                <w:color w:val="30A46C"/>
                <w:sz w:val="22"/>
              </w:rPr>
              <w:t>102.8</w:t>
            </w:r>
          </w:p>
        </w:tc>
        <w:tc>
          <w:tcPr>
            <w:tcW w:type="dxa" w:w="1728"/>
          </w:tcPr>
          <w:p>
            <w:r>
              <w:rPr>
                <w:rFonts w:ascii="Calibri" w:hAnsi="Calibri"/>
                <w:sz w:val="22"/>
              </w:rPr>
              <w:t>100.2</w:t>
            </w:r>
          </w:p>
        </w:tc>
        <w:tc>
          <w:tcPr>
            <w:tcW w:type="dxa" w:w="1728"/>
          </w:tcPr>
          <w:p>
            <w:r>
              <w:rPr>
                <w:rFonts w:ascii="Calibri" w:hAnsi="Calibri"/>
                <w:sz w:val="22"/>
              </w:rPr>
              <w:t>102.9</w:t>
            </w:r>
          </w:p>
        </w:tc>
        <w:tc>
          <w:tcPr>
            <w:tcW w:type="dxa" w:w="1728"/>
          </w:tcPr>
          <w:p>
            <w:r>
              <w:rPr>
                <w:rFonts w:ascii="Calibri" w:hAnsi="Calibri"/>
                <w:sz w:val="22"/>
              </w:rPr>
              <w:t>$157.00</w:t>
            </w:r>
          </w:p>
        </w:tc>
      </w:tr>
    </w:tbl>
    <w:p>
      <w:pPr>
        <w:pStyle w:val="Heading2"/>
      </w:pPr>
      <w:r>
        <w:rPr>
          <w:rFonts w:ascii="Calibri" w:hAnsi="Calibri"/>
          <w:b/>
          <w:color w:val="3B4259"/>
          <w:sz w:val="28"/>
        </w:rPr>
        <w:t>Valuation Multiple Context (NTM EV/EBITDA)</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shd w:val="clear" w:color="auto" w:fill="3B4259"/>
          </w:tcPr>
          <w:p>
            <w:r>
              <w:rPr>
                <w:rFonts w:ascii="Calibri" w:hAnsi="Calibri"/>
                <w:b/>
                <w:color w:val="FFFFFF"/>
                <w:sz w:val="22"/>
              </w:rPr>
              <w:t>Horizon</w:t>
            </w:r>
          </w:p>
        </w:tc>
        <w:tc>
          <w:tcPr>
            <w:tcW w:type="dxa" w:w="1440"/>
            <w:shd w:val="clear" w:color="auto" w:fill="3B4259"/>
          </w:tcPr>
          <w:p>
            <w:r>
              <w:rPr>
                <w:rFonts w:ascii="Calibri" w:hAnsi="Calibri"/>
                <w:b/>
                <w:color w:val="FFFFFF"/>
                <w:sz w:val="22"/>
              </w:rPr>
              <w:t>XOM Price Change</w:t>
            </w:r>
          </w:p>
        </w:tc>
        <w:tc>
          <w:tcPr>
            <w:tcW w:type="dxa" w:w="1440"/>
            <w:shd w:val="clear" w:color="auto" w:fill="3B4259"/>
          </w:tcPr>
          <w:p>
            <w:r>
              <w:rPr>
                <w:rFonts w:ascii="Calibri" w:hAnsi="Calibri"/>
                <w:b/>
                <w:color w:val="FFFFFF"/>
                <w:sz w:val="22"/>
              </w:rPr>
              <w:t>NTM EV/EBITDA at Start</w:t>
            </w:r>
          </w:p>
        </w:tc>
        <w:tc>
          <w:tcPr>
            <w:tcW w:type="dxa" w:w="1440"/>
            <w:shd w:val="clear" w:color="auto" w:fill="3B4259"/>
          </w:tcPr>
          <w:p>
            <w:r>
              <w:rPr>
                <w:rFonts w:ascii="Calibri" w:hAnsi="Calibri"/>
                <w:b/>
                <w:color w:val="FFFFFF"/>
                <w:sz w:val="22"/>
              </w:rPr>
              <w:t>NTM EV/EBITDA (Current)</w:t>
            </w:r>
          </w:p>
        </w:tc>
        <w:tc>
          <w:tcPr>
            <w:tcW w:type="dxa" w:w="1440"/>
            <w:shd w:val="clear" w:color="auto" w:fill="3B4259"/>
          </w:tcPr>
          <w:p>
            <w:r>
              <w:rPr>
                <w:rFonts w:ascii="Calibri" w:hAnsi="Calibri"/>
                <w:b/>
                <w:color w:val="FFFFFF"/>
                <w:sz w:val="22"/>
              </w:rPr>
              <w:t>Multiple Δ</w:t>
            </w:r>
          </w:p>
        </w:tc>
        <w:tc>
          <w:tcPr>
            <w:tcW w:type="dxa" w:w="1440"/>
            <w:shd w:val="clear" w:color="auto" w:fill="3B4259"/>
          </w:tcPr>
          <w:p>
            <w:r>
              <w:rPr>
                <w:rFonts w:ascii="Calibri" w:hAnsi="Calibri"/>
                <w:b/>
                <w:color w:val="FFFFFF"/>
                <w:sz w:val="22"/>
              </w:rPr>
              <w:t>Interpretation</w:t>
            </w:r>
          </w:p>
        </w:tc>
      </w:tr>
      <w:tr>
        <w:tc>
          <w:tcPr>
            <w:tcW w:type="dxa" w:w="1440"/>
          </w:tcPr>
          <w:p>
            <w:r>
              <w:rPr>
                <w:rFonts w:ascii="Calibri" w:hAnsi="Calibri"/>
                <w:sz w:val="22"/>
              </w:rPr>
              <w:t>1 Month</w:t>
            </w:r>
          </w:p>
        </w:tc>
        <w:tc>
          <w:tcPr>
            <w:tcW w:type="dxa" w:w="1440"/>
          </w:tcPr>
          <w:p>
            <w:r>
              <w:rPr>
                <w:rFonts w:ascii="Calibri" w:hAnsi="Calibri"/>
                <w:sz w:val="22"/>
              </w:rPr>
              <w:t>+14.8%</w:t>
            </w:r>
          </w:p>
        </w:tc>
        <w:tc>
          <w:tcPr>
            <w:tcW w:type="dxa" w:w="1440"/>
          </w:tcPr>
          <w:p>
            <w:r>
              <w:rPr>
                <w:rFonts w:ascii="Calibri" w:hAnsi="Calibri"/>
                <w:sz w:val="22"/>
              </w:rPr>
              <w:t>6.92x</w:t>
            </w:r>
          </w:p>
        </w:tc>
        <w:tc>
          <w:tcPr>
            <w:tcW w:type="dxa" w:w="1440"/>
          </w:tcPr>
          <w:p>
            <w:r>
              <w:rPr>
                <w:rFonts w:ascii="Calibri" w:hAnsi="Calibri"/>
                <w:sz w:val="22"/>
              </w:rPr>
              <w:t>7.71x</w:t>
            </w:r>
          </w:p>
        </w:tc>
        <w:tc>
          <w:tcPr>
            <w:tcW w:type="dxa" w:w="1440"/>
          </w:tcPr>
          <w:p>
            <w:r>
              <w:rPr>
                <w:rFonts w:ascii="Calibri" w:hAnsi="Calibri"/>
                <w:b/>
                <w:color w:val="30A46C"/>
                <w:sz w:val="22"/>
              </w:rPr>
              <w:t>+11.5%</w:t>
            </w:r>
          </w:p>
        </w:tc>
        <w:tc>
          <w:tcPr>
            <w:tcW w:type="dxa" w:w="1440"/>
          </w:tcPr>
          <w:p>
            <w:r>
              <w:rPr>
                <w:rFonts w:ascii="Calibri" w:hAnsi="Calibri"/>
                <w:sz w:val="22"/>
              </w:rPr>
              <w:t>Multiple-driven rally; sentiment re-rating on commodity strength</w:t>
            </w:r>
          </w:p>
        </w:tc>
      </w:tr>
      <w:tr>
        <w:tc>
          <w:tcPr>
            <w:tcW w:type="dxa" w:w="1440"/>
          </w:tcPr>
          <w:p>
            <w:r>
              <w:rPr>
                <w:rFonts w:ascii="Calibri" w:hAnsi="Calibri"/>
                <w:sz w:val="22"/>
              </w:rPr>
              <w:t>3 Months</w:t>
            </w:r>
          </w:p>
        </w:tc>
        <w:tc>
          <w:tcPr>
            <w:tcW w:type="dxa" w:w="1440"/>
          </w:tcPr>
          <w:p>
            <w:r>
              <w:rPr>
                <w:rFonts w:ascii="Calibri" w:hAnsi="Calibri"/>
                <w:sz w:val="22"/>
              </w:rPr>
              <w:t>+1.5%</w:t>
            </w:r>
          </w:p>
        </w:tc>
        <w:tc>
          <w:tcPr>
            <w:tcW w:type="dxa" w:w="1440"/>
          </w:tcPr>
          <w:p>
            <w:r>
              <w:rPr>
                <w:rFonts w:ascii="Calibri" w:hAnsi="Calibri"/>
                <w:sz w:val="22"/>
              </w:rPr>
              <w:t>7.75x</w:t>
            </w:r>
          </w:p>
        </w:tc>
        <w:tc>
          <w:tcPr>
            <w:tcW w:type="dxa" w:w="1440"/>
          </w:tcPr>
          <w:p>
            <w:r>
              <w:rPr>
                <w:rFonts w:ascii="Calibri" w:hAnsi="Calibri"/>
                <w:sz w:val="22"/>
              </w:rPr>
              <w:t>7.71x</w:t>
            </w:r>
          </w:p>
        </w:tc>
        <w:tc>
          <w:tcPr>
            <w:tcW w:type="dxa" w:w="1440"/>
          </w:tcPr>
          <w:p>
            <w:r>
              <w:rPr>
                <w:rFonts w:ascii="Calibri" w:hAnsi="Calibri"/>
                <w:sz w:val="22"/>
              </w:rPr>
              <w:t>-0.5%</w:t>
            </w:r>
          </w:p>
        </w:tc>
        <w:tc>
          <w:tcPr>
            <w:tcW w:type="dxa" w:w="1440"/>
          </w:tcPr>
          <w:p>
            <w:r>
              <w:rPr>
                <w:rFonts w:ascii="Calibri" w:hAnsi="Calibri"/>
                <w:sz w:val="22"/>
              </w:rPr>
              <w:t>Flat; estimate-driven; multiple essentially unchanged</w:t>
            </w:r>
          </w:p>
        </w:tc>
      </w:tr>
      <w:tr>
        <w:tc>
          <w:tcPr>
            <w:tcW w:type="dxa" w:w="1440"/>
          </w:tcPr>
          <w:p>
            <w:r>
              <w:rPr>
                <w:rFonts w:ascii="Calibri" w:hAnsi="Calibri"/>
                <w:sz w:val="22"/>
              </w:rPr>
              <w:t>6 Months</w:t>
            </w:r>
          </w:p>
        </w:tc>
        <w:tc>
          <w:tcPr>
            <w:tcW w:type="dxa" w:w="1440"/>
          </w:tcPr>
          <w:p>
            <w:r>
              <w:rPr>
                <w:rFonts w:ascii="Calibri" w:hAnsi="Calibri"/>
                <w:sz w:val="22"/>
              </w:rPr>
              <w:t>+14.1%</w:t>
            </w:r>
          </w:p>
        </w:tc>
        <w:tc>
          <w:tcPr>
            <w:tcW w:type="dxa" w:w="1440"/>
          </w:tcPr>
          <w:p>
            <w:r>
              <w:rPr>
                <w:rFonts w:ascii="Calibri" w:hAnsi="Calibri"/>
                <w:sz w:val="22"/>
              </w:rPr>
              <w:t>8.89x</w:t>
            </w:r>
          </w:p>
        </w:tc>
        <w:tc>
          <w:tcPr>
            <w:tcW w:type="dxa" w:w="1440"/>
          </w:tcPr>
          <w:p>
            <w:r>
              <w:rPr>
                <w:rFonts w:ascii="Calibri" w:hAnsi="Calibri"/>
                <w:sz w:val="22"/>
              </w:rPr>
              <w:t>7.71x</w:t>
            </w:r>
          </w:p>
        </w:tc>
        <w:tc>
          <w:tcPr>
            <w:tcW w:type="dxa" w:w="1440"/>
          </w:tcPr>
          <w:p>
            <w:r>
              <w:rPr>
                <w:rFonts w:ascii="Calibri" w:hAnsi="Calibri"/>
                <w:b/>
                <w:color w:val="E5484D"/>
                <w:sz w:val="22"/>
              </w:rPr>
              <w:t>-13.3%</w:t>
            </w:r>
          </w:p>
        </w:tc>
        <w:tc>
          <w:tcPr>
            <w:tcW w:type="dxa" w:w="1440"/>
          </w:tcPr>
          <w:p>
            <w:r>
              <w:rPr>
                <w:rFonts w:ascii="Calibri" w:hAnsi="Calibri"/>
                <w:sz w:val="22"/>
              </w:rPr>
              <w:t>Multiple compression; earnings-driven rally (estimates up more than price)</w:t>
            </w:r>
          </w:p>
        </w:tc>
      </w:tr>
      <w:tr>
        <w:tc>
          <w:tcPr>
            <w:tcW w:type="dxa" w:w="1440"/>
          </w:tcPr>
          <w:p>
            <w:r>
              <w:rPr>
                <w:rFonts w:ascii="Calibri" w:hAnsi="Calibri"/>
                <w:sz w:val="22"/>
              </w:rPr>
              <w:t>12 Months</w:t>
            </w:r>
          </w:p>
        </w:tc>
        <w:tc>
          <w:tcPr>
            <w:tcW w:type="dxa" w:w="1440"/>
          </w:tcPr>
          <w:p>
            <w:r>
              <w:rPr>
                <w:rFonts w:ascii="Calibri" w:hAnsi="Calibri"/>
                <w:sz w:val="22"/>
              </w:rPr>
              <w:t>+39.1%</w:t>
            </w:r>
          </w:p>
        </w:tc>
        <w:tc>
          <w:tcPr>
            <w:tcW w:type="dxa" w:w="1440"/>
          </w:tcPr>
          <w:p>
            <w:r>
              <w:rPr>
                <w:rFonts w:ascii="Calibri" w:hAnsi="Calibri"/>
                <w:sz w:val="22"/>
              </w:rPr>
              <w:t>7.17x</w:t>
            </w:r>
          </w:p>
        </w:tc>
        <w:tc>
          <w:tcPr>
            <w:tcW w:type="dxa" w:w="1440"/>
          </w:tcPr>
          <w:p>
            <w:r>
              <w:rPr>
                <w:rFonts w:ascii="Calibri" w:hAnsi="Calibri"/>
                <w:sz w:val="22"/>
              </w:rPr>
              <w:t>7.71x</w:t>
            </w:r>
          </w:p>
        </w:tc>
        <w:tc>
          <w:tcPr>
            <w:tcW w:type="dxa" w:w="1440"/>
          </w:tcPr>
          <w:p>
            <w:r>
              <w:rPr>
                <w:rFonts w:ascii="Calibri" w:hAnsi="Calibri"/>
                <w:b/>
                <w:color w:val="30A46C"/>
                <w:sz w:val="22"/>
              </w:rPr>
              <w:t>+7.5%</w:t>
            </w:r>
          </w:p>
        </w:tc>
        <w:tc>
          <w:tcPr>
            <w:tcW w:type="dxa" w:w="1440"/>
          </w:tcPr>
          <w:p>
            <w:r>
              <w:rPr>
                <w:rFonts w:ascii="Calibri" w:hAnsi="Calibri"/>
                <w:sz w:val="22"/>
              </w:rPr>
              <w:t>Mixed; strong price appreciation with modest multiple expansion</w:t>
            </w:r>
          </w:p>
        </w:tc>
      </w:tr>
    </w:tbl>
    <w:p>
      <w:r>
        <w:rPr>
          <w:rFonts w:ascii="Calibri" w:hAnsi="Calibri"/>
          <w:b/>
          <w:color w:val="525866"/>
          <w:sz w:val="22"/>
        </w:rPr>
        <w:t xml:space="preserve">Analysis: </w:t>
      </w:r>
      <w:r>
        <w:rPr>
          <w:rFonts w:ascii="Calibri" w:hAnsi="Calibri"/>
          <w:color w:val="525866"/>
          <w:sz w:val="22"/>
        </w:rPr>
        <w:t>The stock’s performance since May 1 tells a clear two-act story. Act 1 (May–June): XOM sold off sharply alongside XLE as crude prices pulled back from Q1 highs and the market digested the GAAP noise in Q1 results — XOM fell from $152.75 to a trough of $136.06 (June 29), underperforming SPY by ~14 percentage points. Act 2 (July): A sharp recovery driven by re-escalating Middle East tensions (Strait of Hormuz re-closure ~July 9 per TotalEnergies), with XOM rallying +15.4% from trough to current $157.00. The 1-month multiple expansion of +11.5% on NTM EV/EBITDA confirms this July rally was primarily sentiment/multiple-driven rather than estimate-driven — a pattern that creates risk if the commodity environment softens post-print. At 7.71x NTM EV/EBITDA, XOM is trading at a slight discount to its 6-month average (~8.9x) but above its 12-month starting point (7.17x), suggesting the multiple is not stretched but also not cheap.</w:t>
      </w:r>
    </w:p>
    <w:p>
      <w:r>
        <w:rPr>
          <w:rFonts w:ascii="Calibri" w:hAnsi="Calibri"/>
          <w:b/>
          <w:color w:val="525866"/>
          <w:sz w:val="22"/>
        </w:rPr>
        <w:t xml:space="preserve">Source: </w:t>
      </w:r>
      <w:r>
        <w:rPr>
          <w:rFonts w:ascii="Calibri" w:hAnsi="Calibri"/>
          <w:color w:val="525866"/>
          <w:sz w:val="22"/>
        </w:rPr>
        <w:t>Yahoo Finance / Stock Price Data; Stock Performance Decomposition Data (NTM EV/EBITDA multiples).</w:t>
      </w:r>
    </w:p>
    <w:p>
      <w:r>
        <w:br w:type="page"/>
      </w:r>
    </w:p>
    <w:p>
      <w:pPr>
        <w:pStyle w:val="Heading1"/>
        <w:pBdr>
          <w:bottom w:val="single" w:sz="4" w:space="1" w:color="FB9120"/>
        </w:pBdr>
      </w:pPr>
      <w:r>
        <w:rPr>
          <w:rFonts w:ascii="Calibri" w:hAnsi="Calibri"/>
          <w:b/>
          <w:color w:val="3B4259"/>
          <w:sz w:val="40"/>
        </w:rPr>
        <w:t>6. Material News &amp; Developments</w:t>
      </w:r>
    </w:p>
    <w:p>
      <w:r>
        <w:rPr>
          <w:rFonts w:ascii="Calibri" w:hAnsi="Calibri"/>
          <w:b/>
          <w:color w:val="525866"/>
          <w:sz w:val="22"/>
        </w:rPr>
        <w:t xml:space="preserve">Key Takeaway: </w:t>
      </w:r>
      <w:r>
        <w:rPr>
          <w:rFonts w:ascii="Calibri" w:hAnsi="Calibri"/>
          <w:color w:val="525866"/>
          <w:sz w:val="22"/>
        </w:rPr>
        <w:t xml:space="preserve">The most important development since Q1 earnings is </w:t>
      </w:r>
      <w:r>
        <w:rPr>
          <w:rFonts w:ascii="Calibri" w:hAnsi="Calibri"/>
          <w:b/>
          <w:color w:val="525866"/>
          <w:sz w:val="22"/>
        </w:rPr>
        <w:t>XOM’s redomiciliation to a Texas holding company structure (effective July 1, 2026)</w:t>
      </w:r>
      <w:r>
        <w:rPr>
          <w:rFonts w:ascii="Calibri" w:hAnsi="Calibri"/>
          <w:color w:val="525866"/>
          <w:sz w:val="22"/>
        </w:rPr>
        <w:t>, which is a structural corporate action with no near-term earnings impact; the more operationally significant development is the re-escalation of the Strait of Hormuz conflict in early July, which has driven crude and refining margins to historic levels and creates a materially positive backdrop for the Q2 print.</w:t>
      </w:r>
    </w:p>
    <w:p>
      <w:pPr>
        <w:pStyle w:val="ListBullet"/>
        <w:ind w:left="360" w:hanging="360"/>
      </w:pPr>
      <w:r>
        <w:rPr>
          <w:rFonts w:ascii="Calibri" w:hAnsi="Calibri"/>
          <w:b/>
          <w:color w:val="525866"/>
          <w:sz w:val="22"/>
        </w:rPr>
        <w:t xml:space="preserve">July 1, 2026 — ExxonMobil Completes Redomiciliation to Texas Holding Company Structure (8-K): </w:t>
      </w:r>
      <w:r>
        <w:rPr>
          <w:rFonts w:ascii="Calibri" w:hAnsi="Calibri"/>
          <w:color w:val="525866"/>
          <w:sz w:val="22"/>
        </w:rPr>
        <w:t xml:space="preserve">ExxonMobil Holdings Corporation replaced Exxon Mobil Corporation as the publicly traded entity; shares continue trading as XOM on NYSE. Each existing share was exchanged 1-for-1. No earnings impact; structure simplifies governance and may offer tax/legal flexibility. </w:t>
      </w:r>
    </w:p>
    <w:p>
      <w:pPr>
        <w:pStyle w:val="ListBullet"/>
        <w:ind w:left="360" w:hanging="360"/>
      </w:pPr>
      <w:r>
        <w:rPr>
          <w:rFonts w:ascii="Calibri" w:hAnsi="Calibri"/>
          <w:b/>
          <w:color w:val="525866"/>
          <w:sz w:val="22"/>
        </w:rPr>
        <w:t xml:space="preserve">July 1, 2026 — New Holding Company Debt Guarantee: </w:t>
      </w:r>
      <w:r>
        <w:rPr>
          <w:rFonts w:ascii="Calibri" w:hAnsi="Calibri"/>
          <w:color w:val="525866"/>
          <w:sz w:val="22"/>
        </w:rPr>
        <w:t xml:space="preserve">ExxonMobil Holdings Corporation entered into a Second Supplemental Indenture, fully and unconditionally guaranteeing all of ExxonMobil’s existing debt obligations on a senior unsecured basis. </w:t>
      </w:r>
    </w:p>
    <w:p>
      <w:pPr>
        <w:pStyle w:val="ListBullet"/>
        <w:ind w:left="360" w:hanging="360"/>
      </w:pPr>
      <w:r>
        <w:rPr>
          <w:rFonts w:ascii="Calibri" w:hAnsi="Calibri"/>
          <w:b/>
          <w:color w:val="525866"/>
          <w:sz w:val="22"/>
        </w:rPr>
        <w:t xml:space="preserve">July 1, 2026 — Board and Officer Changes at Operating Subsidiary: </w:t>
      </w:r>
      <w:r>
        <w:rPr>
          <w:rFonts w:ascii="Calibri" w:hAnsi="Calibri"/>
          <w:color w:val="525866"/>
          <w:sz w:val="22"/>
        </w:rPr>
        <w:t xml:space="preserve">Twelve directors resigned from the operating subsidiary (ExxonMobil); Neil Chapman, Neil Hansen, and Jack Williams appointed as directors of the operating entity. James Chapman appointed President and Treasurer; Susan Buchanan appointed VP and Controller. </w:t>
      </w:r>
    </w:p>
    <w:p>
      <w:pPr>
        <w:pStyle w:val="ListBullet"/>
        <w:ind w:left="360" w:hanging="360"/>
      </w:pPr>
      <w:r>
        <w:rPr>
          <w:rFonts w:ascii="Calibri" w:hAnsi="Calibri"/>
          <w:b/>
          <w:color w:val="525866"/>
          <w:sz w:val="22"/>
        </w:rPr>
        <w:t xml:space="preserve">~July 9, 2026 — Strait of Hormuz Re-Closure (per TotalEnergies Q2 Call, July 23): </w:t>
      </w:r>
      <w:r>
        <w:rPr>
          <w:rFonts w:ascii="Calibri" w:hAnsi="Calibri"/>
          <w:color w:val="525866"/>
          <w:sz w:val="22"/>
        </w:rPr>
        <w:t xml:space="preserve">The Strait of Hormuz was re-blocked after a brief partial reopening, per TotalEnergies CEO commentary. This is the single most important macro development for XOM’s Q2 results — crude prices and refining margins surged, with TotalEnergies noting combined crude + refining margin of ~$130/bbl/day since July 9. </w:t>
      </w:r>
    </w:p>
    <w:p>
      <w:pPr>
        <w:pStyle w:val="ListBullet"/>
        <w:ind w:left="360" w:hanging="360"/>
      </w:pPr>
      <w:r>
        <w:rPr>
          <w:rFonts w:ascii="Calibri" w:hAnsi="Calibri"/>
          <w:b/>
          <w:color w:val="525866"/>
          <w:sz w:val="22"/>
        </w:rPr>
        <w:t xml:space="preserve">July 21, 2026 — XOM Announces Q2 2026 Earnings Date (Press Release): </w:t>
      </w:r>
      <w:r>
        <w:rPr>
          <w:rFonts w:ascii="Calibri" w:hAnsi="Calibri"/>
          <w:color w:val="525866"/>
          <w:sz w:val="22"/>
        </w:rPr>
        <w:t xml:space="preserve">Confirmed July 31, 2026 at 9:30 AM ET for Q2 2026 results. </w:t>
      </w:r>
    </w:p>
    <w:p>
      <w:pPr>
        <w:pStyle w:val="ListBullet"/>
        <w:ind w:left="360" w:hanging="360"/>
      </w:pPr>
      <w:r>
        <w:rPr>
          <w:rFonts w:ascii="Calibri" w:hAnsi="Calibri"/>
          <w:b/>
          <w:color w:val="525866"/>
          <w:sz w:val="22"/>
        </w:rPr>
        <w:t xml:space="preserve">May 28, 2026 — Bernstein Strategic Decisions Conference (Neil Chapman, SVP): </w:t>
      </w:r>
      <w:r>
        <w:rPr>
          <w:rFonts w:ascii="Calibri" w:hAnsi="Calibri"/>
          <w:color w:val="525866"/>
          <w:sz w:val="22"/>
        </w:rPr>
        <w:t xml:space="preserve">XOM presented at the Bernstein 42nd Annual Strategic Decisions Conference. No material guidance update disclosed in the press release; long-term ESG/emissions targets reiterated. </w:t>
      </w:r>
    </w:p>
    <w:p>
      <w:pPr>
        <w:pStyle w:val="ListBullet"/>
        <w:ind w:left="360" w:hanging="360"/>
      </w:pPr>
      <w:r>
        <w:rPr>
          <w:rFonts w:ascii="Calibri" w:hAnsi="Calibri"/>
          <w:b/>
          <w:color w:val="525866"/>
          <w:sz w:val="22"/>
        </w:rPr>
        <w:t xml:space="preserve">May 27, 2026 — Annual Shareholder Meeting: </w:t>
      </w:r>
      <w:r>
        <w:rPr>
          <w:rFonts w:ascii="Calibri" w:hAnsi="Calibri"/>
          <w:color w:val="525866"/>
          <w:sz w:val="22"/>
        </w:rPr>
        <w:t xml:space="preserve">Held as scheduled; no material announcements disclosed in research context. </w:t>
      </w:r>
    </w:p>
    <w:p>
      <w:pPr>
        <w:pStyle w:val="ListBullet"/>
        <w:ind w:left="360" w:hanging="360"/>
      </w:pPr>
      <w:r>
        <w:rPr>
          <w:rFonts w:ascii="Calibri" w:hAnsi="Calibri"/>
          <w:b/>
          <w:color w:val="525866"/>
          <w:sz w:val="22"/>
        </w:rPr>
        <w:t xml:space="preserve">May 4, 2026 — Susan Buchanan Appointed Principal Accounting Officer (8-K): </w:t>
      </w:r>
      <w:r>
        <w:rPr>
          <w:rFonts w:ascii="Calibri" w:hAnsi="Calibri"/>
          <w:color w:val="525866"/>
          <w:sz w:val="22"/>
        </w:rPr>
        <w:t xml:space="preserve">Administrative appointment; no earnings impact. </w:t>
      </w:r>
    </w:p>
    <w:p>
      <w:pPr>
        <w:pStyle w:val="ListBullet"/>
        <w:ind w:left="360" w:hanging="360"/>
      </w:pPr>
      <w:r>
        <w:rPr>
          <w:rFonts w:ascii="Calibri" w:hAnsi="Calibri"/>
          <w:b/>
          <w:color w:val="525866"/>
          <w:sz w:val="22"/>
        </w:rPr>
        <w:t xml:space="preserve">Q2 2026 (ongoing) — Qatar LNG Trains Remain Offline / Re-Shut: </w:t>
      </w:r>
      <w:r>
        <w:rPr>
          <w:rFonts w:ascii="Calibri" w:hAnsi="Calibri"/>
          <w:color w:val="525866"/>
          <w:sz w:val="22"/>
        </w:rPr>
        <w:t xml:space="preserve">TotalEnergies confirmed the Qatar Gas 2 LNG plant (which had been ramping up) was shut down again as of late July. XOM’s JV interest in Qatar LNG (representing ~3% of global production) remains impaired; 3–5 year repair timeline per QatarEnergy. </w:t>
      </w:r>
    </w:p>
    <w:p>
      <w:pPr>
        <w:pStyle w:val="ListBullet"/>
        <w:ind w:left="360" w:hanging="360"/>
      </w:pPr>
      <w:r>
        <w:rPr>
          <w:rFonts w:ascii="Calibri" w:hAnsi="Calibri"/>
          <w:b/>
          <w:color w:val="525866"/>
          <w:sz w:val="22"/>
        </w:rPr>
        <w:t xml:space="preserve">Q2 2026 (ongoing) — Golden Pass LNG Train 1 Ramping: </w:t>
      </w:r>
      <w:r>
        <w:rPr>
          <w:rFonts w:ascii="Calibri" w:hAnsi="Calibri"/>
          <w:color w:val="525866"/>
          <w:sz w:val="22"/>
        </w:rPr>
        <w:t xml:space="preserve">Train 1 achieved first LNG in March 2026 and is delivering product to market; Train 2 on track for mechanical completion by year-end 2026. This is a meaningful new revenue stream for XOM in a tight LNG market. </w:t>
      </w:r>
    </w:p>
    <w:p>
      <w:pPr>
        <w:pStyle w:val="ListBullet"/>
        <w:ind w:left="360" w:hanging="360"/>
      </w:pPr>
      <w:r>
        <w:rPr>
          <w:rFonts w:ascii="Calibri" w:hAnsi="Calibri"/>
          <w:b/>
          <w:color w:val="525866"/>
          <w:sz w:val="22"/>
        </w:rPr>
        <w:t xml:space="preserve">Q2 2026 (ongoing) — Guyana 5th FPSO (Uaru) Targeting First Oil H2 2026: </w:t>
      </w:r>
      <w:r>
        <w:rPr>
          <w:rFonts w:ascii="Calibri" w:hAnsi="Calibri"/>
          <w:color w:val="525866"/>
          <w:sz w:val="22"/>
        </w:rPr>
        <w:t xml:space="preserve">Management confirmed Uaru, Whiptail, and Hammerhead are under construction; Uaru targeting first oil “late this year.” This is a key production growth catalyst for H2 2026 and beyond. </w:t>
      </w:r>
    </w:p>
    <w:p>
      <w:r>
        <w:br w:type="page"/>
      </w:r>
    </w:p>
    <w:p>
      <w:pPr>
        <w:pStyle w:val="Heading1"/>
        <w:pBdr>
          <w:bottom w:val="single" w:sz="4" w:space="1" w:color="FB9120"/>
        </w:pBdr>
      </w:pPr>
      <w:r>
        <w:rPr>
          <w:rFonts w:ascii="Calibri" w:hAnsi="Calibri"/>
          <w:b/>
          <w:color w:val="3B4259"/>
          <w:sz w:val="40"/>
        </w:rPr>
        <w:t>7. Peer Commentary &amp; Q2 2026 Read-Throughs</w:t>
      </w:r>
    </w:p>
    <w:p>
      <w:r>
        <w:rPr>
          <w:rFonts w:ascii="Calibri" w:hAnsi="Calibri"/>
          <w:b/>
          <w:color w:val="525866"/>
          <w:sz w:val="22"/>
        </w:rPr>
        <w:t xml:space="preserve">Key Takeaway: </w:t>
      </w:r>
      <w:r>
        <w:rPr>
          <w:rFonts w:ascii="Calibri" w:hAnsi="Calibri"/>
          <w:color w:val="525866"/>
          <w:sz w:val="22"/>
        </w:rPr>
        <w:t xml:space="preserve">Peer commentary from Q2 2026 earnings calls and mid-quarter conferences is </w:t>
      </w:r>
      <w:r>
        <w:rPr>
          <w:rFonts w:ascii="Calibri" w:hAnsi="Calibri"/>
          <w:b/>
          <w:color w:val="525866"/>
          <w:sz w:val="22"/>
        </w:rPr>
        <w:t>uniformly constructive for XOM’s Q2 print</w:t>
      </w:r>
      <w:r>
        <w:rPr>
          <w:rFonts w:ascii="Calibri" w:hAnsi="Calibri"/>
          <w:color w:val="525866"/>
          <w:sz w:val="22"/>
        </w:rPr>
        <w:t xml:space="preserve"> — Brent averaged ~$104/bbl (TotalEnergies), refining margins hit historic levels (~$25/bbl for Equinor, ~$35/bbl in July for TotalEnergies), LNG trading outperformed, and crude trading delivered strong results; the one negative read-through is TotalEnergies’ gas trading miss in Q2, which could signal a headwind for XOM’s gas optimization business.</w:t>
      </w:r>
    </w:p>
    <w:p>
      <w:r>
        <w:rPr>
          <w:rFonts w:ascii="Calibri" w:hAnsi="Calibri"/>
          <w:b/>
          <w:color w:val="525866"/>
          <w:sz w:val="22"/>
        </w:rPr>
        <w:t xml:space="preserve">Note on scope: </w:t>
      </w:r>
      <w:r>
        <w:rPr>
          <w:rFonts w:ascii="Calibri" w:hAnsi="Calibri"/>
          <w:color w:val="525866"/>
          <w:sz w:val="22"/>
        </w:rPr>
        <w:t>All peer commentary below is strictly limited to (a) Q2 2026 earnings calls reporting on calendar Q2 2026 conditions, or (b) mid-quarter conferences held during Q2 2026 (May–June 2026) providing current-quarter color. No retrospective Q1 2026 commentary is included.</w:t>
      </w:r>
    </w:p>
    <w:p>
      <w:pPr>
        <w:pStyle w:val="Heading2"/>
      </w:pPr>
      <w:r>
        <w:rPr>
          <w:rFonts w:ascii="Calibri" w:hAnsi="Calibri"/>
          <w:b/>
          <w:color w:val="3B4259"/>
          <w:sz w:val="28"/>
        </w:rPr>
        <w:t>TotalEnergies (TTE) — Q2 2026 Earnings Call (July 23, 2026)</w:t>
      </w:r>
    </w:p>
    <w:p>
      <w:r>
        <w:rPr>
          <w:rFonts w:ascii="Calibri" w:hAnsi="Calibri"/>
          <w:b/>
          <w:color w:val="525866"/>
          <w:sz w:val="22"/>
        </w:rPr>
        <w:t xml:space="preserve">Relevance: </w:t>
      </w:r>
      <w:r>
        <w:rPr>
          <w:rFonts w:ascii="Calibri" w:hAnsi="Calibri"/>
          <w:color w:val="525866"/>
          <w:sz w:val="22"/>
        </w:rPr>
        <w:t>TotalEnergies is the closest integrated peer to XOM with overlapping Guyana, LNG, and refining exposure. Their Q2 2026 call provides the most direct read-through on commodity realizations, refining margins, and LNG market conditions during the quarter.</w:t>
      </w:r>
    </w:p>
    <w:tbl>
      <w:tblPr>
        <w:tblStyle w:val="TableGrid"/>
        <w:tblW w:type="auto" w:w="0"/>
        <w:tblLook w:firstColumn="1" w:firstRow="1" w:lastColumn="0" w:lastRow="0" w:noHBand="0" w:noVBand="1" w:val="04A0"/>
      </w:tblPr>
      <w:tblGrid>
        <w:gridCol w:w="2880"/>
        <w:gridCol w:w="2880"/>
        <w:gridCol w:w="2880"/>
      </w:tblGrid>
      <w:tr>
        <w:tc>
          <w:tcPr>
            <w:tcW w:type="dxa" w:w="2880"/>
            <w:shd w:val="clear" w:color="auto" w:fill="3B4259"/>
          </w:tcPr>
          <w:p>
            <w:r>
              <w:rPr>
                <w:rFonts w:ascii="Calibri" w:hAnsi="Calibri"/>
                <w:b/>
                <w:color w:val="FFFFFF"/>
                <w:sz w:val="22"/>
              </w:rPr>
              <w:t>Theme</w:t>
            </w:r>
          </w:p>
        </w:tc>
        <w:tc>
          <w:tcPr>
            <w:tcW w:type="dxa" w:w="2880"/>
            <w:shd w:val="clear" w:color="auto" w:fill="3B4259"/>
          </w:tcPr>
          <w:p>
            <w:r>
              <w:rPr>
                <w:rFonts w:ascii="Calibri" w:hAnsi="Calibri"/>
                <w:b/>
                <w:color w:val="FFFFFF"/>
                <w:sz w:val="22"/>
              </w:rPr>
              <w:t>TotalEnergies Q2 2026 Commentary</w:t>
            </w:r>
          </w:p>
        </w:tc>
        <w:tc>
          <w:tcPr>
            <w:tcW w:type="dxa" w:w="2880"/>
            <w:shd w:val="clear" w:color="auto" w:fill="3B4259"/>
          </w:tcPr>
          <w:p>
            <w:r>
              <w:rPr>
                <w:rFonts w:ascii="Calibri" w:hAnsi="Calibri"/>
                <w:b/>
                <w:color w:val="FFFFFF"/>
                <w:sz w:val="22"/>
              </w:rPr>
              <w:t>XOM Read-Through / Implication</w:t>
            </w:r>
          </w:p>
        </w:tc>
      </w:tr>
      <w:tr>
        <w:tc>
          <w:tcPr>
            <w:tcW w:type="dxa" w:w="2880"/>
          </w:tcPr>
          <w:p>
            <w:r>
              <w:rPr>
                <w:rFonts w:ascii="Calibri" w:hAnsi="Calibri"/>
                <w:sz w:val="22"/>
              </w:rPr>
              <w:t>Crude Oil Realizations</w:t>
            </w:r>
          </w:p>
        </w:tc>
        <w:tc>
          <w:tcPr>
            <w:tcW w:type="dxa" w:w="2880"/>
          </w:tcPr>
          <w:p>
            <w:r>
              <w:rPr>
                <w:rFonts w:ascii="Calibri" w:hAnsi="Calibri"/>
                <w:sz w:val="22"/>
              </w:rPr>
              <w:t>Brent averaged $104/bbl in Q2 vs. $81/bbl in Q1 (+$23/bbl, &gt;25% QoQ). Average liquid price up $18/bbl due to widened differentials and lifting schedule weighted toward end of quarter.</w:t>
            </w:r>
          </w:p>
        </w:tc>
        <w:tc>
          <w:tcPr>
            <w:tcW w:type="dxa" w:w="2880"/>
          </w:tcPr>
          <w:p>
            <w:r>
              <w:rPr>
                <w:rFonts w:ascii="Calibri" w:hAnsi="Calibri"/>
                <w:b/>
                <w:color w:val="30A46C"/>
                <w:sz w:val="22"/>
              </w:rPr>
              <w:t>Strongly positive for XOM upstream. The $23/bbl QoQ uplift in Brent is the primary driver of the consensus EPS step-up from $2.09 (Q1) to $3.54 (Q2). XOM’s integrated model amplifies this through refining and trading.</w:t>
            </w:r>
          </w:p>
        </w:tc>
      </w:tr>
      <w:tr>
        <w:tc>
          <w:tcPr>
            <w:tcW w:type="dxa" w:w="2880"/>
          </w:tcPr>
          <w:p>
            <w:r>
              <w:rPr>
                <w:rFonts w:ascii="Calibri" w:hAnsi="Calibri"/>
                <w:sz w:val="22"/>
              </w:rPr>
              <w:t>Refining Margins</w:t>
            </w:r>
          </w:p>
        </w:tc>
        <w:tc>
          <w:tcPr>
            <w:tcW w:type="dxa" w:w="2880"/>
          </w:tcPr>
          <w:p>
            <w:r>
              <w:rPr>
                <w:rFonts w:ascii="Calibri" w:hAnsi="Calibri"/>
                <w:sz w:val="22"/>
              </w:rPr>
              <w:t>European refining margins up $13.5/bbl on average in Q2. Refiners prioritized diesel and jet fuel production. Refining &amp; Chemicals adjusted net operating income up $200M QoQ to $2.8B. July margins ~$35/bbl; one-day record of &gt;$40/bbl. Combined crude + refining margin ~$130/bbl/day since July 9 Strait re-closure.</w:t>
            </w:r>
          </w:p>
        </w:tc>
        <w:tc>
          <w:tcPr>
            <w:tcW w:type="dxa" w:w="2880"/>
          </w:tcPr>
          <w:p>
            <w:r>
              <w:rPr>
                <w:rFonts w:ascii="Calibri" w:hAnsi="Calibri"/>
                <w:b/>
                <w:color w:val="30A46C"/>
                <w:sz w:val="22"/>
              </w:rPr>
              <w:t>Strongly positive for XOM’s Energy Products segment. XOM’s Beaumont expansion and North American refining footprint (low-cost energy advantage) should capture outsized margin. Management flagged North American refining advantage on Q1 call.</w:t>
            </w:r>
          </w:p>
        </w:tc>
      </w:tr>
      <w:tr>
        <w:tc>
          <w:tcPr>
            <w:tcW w:type="dxa" w:w="2880"/>
          </w:tcPr>
          <w:p>
            <w:r>
              <w:rPr>
                <w:rFonts w:ascii="Calibri" w:hAnsi="Calibri"/>
                <w:sz w:val="22"/>
              </w:rPr>
              <w:t>Crude Trading</w:t>
            </w:r>
          </w:p>
        </w:tc>
        <w:tc>
          <w:tcPr>
            <w:tcW w:type="dxa" w:w="2880"/>
          </w:tcPr>
          <w:p>
            <w:r>
              <w:rPr>
                <w:rFonts w:ascii="Calibri" w:hAnsi="Calibri"/>
                <w:sz w:val="22"/>
              </w:rPr>
              <w:t>Oil and petroleum products trading “very successful for the second quarter in a row” — $500M overperformance above normal $500M baseline. Volatility, geographical dislocations, and time arbitrage cited as key drivers.</w:t>
            </w:r>
          </w:p>
        </w:tc>
        <w:tc>
          <w:tcPr>
            <w:tcW w:type="dxa" w:w="2880"/>
          </w:tcPr>
          <w:p>
            <w:r>
              <w:rPr>
                <w:rFonts w:ascii="Calibri" w:hAnsi="Calibri"/>
                <w:b/>
                <w:color w:val="30A46C"/>
                <w:sz w:val="22"/>
              </w:rPr>
              <w:t>Positive read-through for XOM’s trading organization, which management described as a key competitive advantage. XOM’s Q1 timing effects (negative) should reverse in Q2 as prices remained elevated and volatile.</w:t>
            </w:r>
          </w:p>
        </w:tc>
      </w:tr>
      <w:tr>
        <w:tc>
          <w:tcPr>
            <w:tcW w:type="dxa" w:w="2880"/>
          </w:tcPr>
          <w:p>
            <w:r>
              <w:rPr>
                <w:rFonts w:ascii="Calibri" w:hAnsi="Calibri"/>
                <w:sz w:val="22"/>
              </w:rPr>
              <w:t>Gas Trading</w:t>
            </w:r>
          </w:p>
        </w:tc>
        <w:tc>
          <w:tcPr>
            <w:tcW w:type="dxa" w:w="2880"/>
          </w:tcPr>
          <w:p>
            <w:r>
              <w:rPr>
                <w:rFonts w:ascii="Calibri" w:hAnsi="Calibri"/>
                <w:sz w:val="22"/>
              </w:rPr>
              <w:t>Gas trading results “not good” in Q2 — traders took long gas positions expecting prices to rise (lower Middle East supply, low European inventories), but prices declined through the quarter. Underperformance of ~$800M vs. normal. Gas trading recovering since early July.</w:t>
            </w:r>
          </w:p>
        </w:tc>
        <w:tc>
          <w:tcPr>
            <w:tcW w:type="dxa" w:w="2880"/>
          </w:tcPr>
          <w:p>
            <w:r>
              <w:rPr>
                <w:rFonts w:ascii="Calibri" w:hAnsi="Calibri"/>
                <w:b/>
                <w:color w:val="E5484D"/>
                <w:sz w:val="22"/>
              </w:rPr>
              <w:t>Potential negative read-through for XOM’s gas optimization business. If XOM’s trading desk had similar long gas positioning, it could create a headwind to Q2 results. Watch for commentary on gas trading performance.</w:t>
            </w:r>
          </w:p>
        </w:tc>
      </w:tr>
      <w:tr>
        <w:tc>
          <w:tcPr>
            <w:tcW w:type="dxa" w:w="2880"/>
          </w:tcPr>
          <w:p>
            <w:r>
              <w:rPr>
                <w:rFonts w:ascii="Calibri" w:hAnsi="Calibri"/>
                <w:sz w:val="22"/>
              </w:rPr>
              <w:t>LNG Production</w:t>
            </w:r>
          </w:p>
        </w:tc>
        <w:tc>
          <w:tcPr>
            <w:tcW w:type="dxa" w:w="2880"/>
          </w:tcPr>
          <w:p>
            <w:r>
              <w:rPr>
                <w:rFonts w:ascii="Calibri" w:hAnsi="Calibri"/>
                <w:sz w:val="22"/>
              </w:rPr>
              <w:t>Integrated LNG production down 10% QoQ due to Qatar shut-ins. Average LNG price up 20% to $10.2/MMBtu. Qatar Gas 2 LNG plant shut down again as of late July after brief ramp-up.</w:t>
            </w:r>
          </w:p>
        </w:tc>
        <w:tc>
          <w:tcPr>
            <w:tcW w:type="dxa" w:w="2880"/>
          </w:tcPr>
          <w:p>
            <w:r>
              <w:rPr>
                <w:rFonts w:ascii="Calibri" w:hAnsi="Calibri"/>
                <w:b/>
                <w:color w:val="30A46C"/>
                <w:sz w:val="22"/>
              </w:rPr>
              <w:t>Mixed for XOM. Higher LNG prices benefit Golden Pass Train 1 and remaining Qatar volumes. But Qatar JV damage (3-5 year repair) is a multi-year headwind. Net: price tailwind &gt; volume headwind in Q2.</w:t>
            </w:r>
          </w:p>
        </w:tc>
      </w:tr>
      <w:tr>
        <w:tc>
          <w:tcPr>
            <w:tcW w:type="dxa" w:w="2880"/>
          </w:tcPr>
          <w:p>
            <w:r>
              <w:rPr>
                <w:rFonts w:ascii="Calibri" w:hAnsi="Calibri"/>
                <w:sz w:val="22"/>
              </w:rPr>
              <w:t>Middle East Production Impact</w:t>
            </w:r>
          </w:p>
        </w:tc>
        <w:tc>
          <w:tcPr>
            <w:tcW w:type="dxa" w:w="2880"/>
          </w:tcPr>
          <w:p>
            <w:r>
              <w:rPr>
                <w:rFonts w:ascii="Calibri" w:hAnsi="Calibri"/>
                <w:sz w:val="22"/>
              </w:rPr>
              <w:t>Middle East impact ~210,000 boe/d in Q2 (below 360,000 guidance due to UAE ramp-up and regional restart in June). Physical lifting impact ~350,000 boe/d. Production recovering quickly when Strait opens, but re-closed ~July 9.</w:t>
            </w:r>
          </w:p>
        </w:tc>
        <w:tc>
          <w:tcPr>
            <w:tcW w:type="dxa" w:w="2880"/>
          </w:tcPr>
          <w:p>
            <w:r>
              <w:rPr>
                <w:rFonts w:ascii="Calibri" w:hAnsi="Calibri"/>
                <w:b/>
                <w:color w:val="30A46C"/>
                <w:sz w:val="22"/>
              </w:rPr>
              <w:t>Directionally relevant for XOM’s Middle East production. XOM’s Q2 production consensus of 4,254 Mboe/d already embeds significant Middle East disruption; any partial recovery in June could be a positive surprise.</w:t>
            </w:r>
          </w:p>
        </w:tc>
      </w:tr>
      <w:tr>
        <w:tc>
          <w:tcPr>
            <w:tcW w:type="dxa" w:w="2880"/>
          </w:tcPr>
          <w:p>
            <w:r>
              <w:rPr>
                <w:rFonts w:ascii="Calibri" w:hAnsi="Calibri"/>
                <w:sz w:val="22"/>
              </w:rPr>
              <w:t>Capital Discipline</w:t>
            </w:r>
          </w:p>
        </w:tc>
        <w:tc>
          <w:tcPr>
            <w:tcW w:type="dxa" w:w="2880"/>
          </w:tcPr>
          <w:p>
            <w:r>
              <w:rPr>
                <w:rFonts w:ascii="Calibri" w:hAnsi="Calibri"/>
                <w:sz w:val="22"/>
              </w:rPr>
              <w:t>Q2 CapEx $3.4B; FY2026 guidance of $15B confirmed. Short-cycle investments of $200-300M approved; FY CapEx may reach $15.2B. No increase in capital framework despite higher prices.</w:t>
            </w:r>
          </w:p>
        </w:tc>
        <w:tc>
          <w:tcPr>
            <w:tcW w:type="dxa" w:w="2880"/>
          </w:tcPr>
          <w:p>
            <w:r>
              <w:rPr>
                <w:rFonts w:ascii="Calibri" w:hAnsi="Calibri"/>
                <w:sz w:val="22"/>
              </w:rPr>
              <w:t>Consistent with XOM’s own capital discipline messaging. Expect XOM to maintain FY2026 CapEx guidance unchanged; excess cash to flow to buybacks/dividends rather than incremental investment.</w:t>
            </w:r>
          </w:p>
        </w:tc>
      </w:tr>
    </w:tbl>
    <w:p>
      <w:pPr>
        <w:pStyle w:val="Heading2"/>
      </w:pPr>
      <w:r>
        <w:rPr>
          <w:rFonts w:ascii="Calibri" w:hAnsi="Calibri"/>
          <w:b/>
          <w:color w:val="3B4259"/>
          <w:sz w:val="28"/>
        </w:rPr>
        <w:t>Shell (SHEL) — Q2 2026 Earnings Call (July 30, 2026)</w:t>
      </w:r>
    </w:p>
    <w:p>
      <w:r>
        <w:rPr>
          <w:rFonts w:ascii="Calibri" w:hAnsi="Calibri"/>
          <w:b/>
          <w:color w:val="525866"/>
          <w:sz w:val="22"/>
        </w:rPr>
        <w:t xml:space="preserve">Relevance: </w:t>
      </w:r>
      <w:r>
        <w:rPr>
          <w:rFonts w:ascii="Calibri" w:hAnsi="Calibri"/>
          <w:color w:val="525866"/>
          <w:sz w:val="22"/>
        </w:rPr>
        <w:t>Shell reported Q2 2026 results on the same day as this preview (July 30). Shell’s integrated model — with significant LNG, refining, and trading exposure — is the most direct structural peer to XOM.</w:t>
      </w:r>
    </w:p>
    <w:tbl>
      <w:tblPr>
        <w:tblStyle w:val="TableGrid"/>
        <w:tblW w:type="auto" w:w="0"/>
        <w:tblLook w:firstColumn="1" w:firstRow="1" w:lastColumn="0" w:lastRow="0" w:noHBand="0" w:noVBand="1" w:val="04A0"/>
      </w:tblPr>
      <w:tblGrid>
        <w:gridCol w:w="2880"/>
        <w:gridCol w:w="2880"/>
        <w:gridCol w:w="2880"/>
      </w:tblGrid>
      <w:tr>
        <w:tc>
          <w:tcPr>
            <w:tcW w:type="dxa" w:w="2880"/>
            <w:shd w:val="clear" w:color="auto" w:fill="3B4259"/>
          </w:tcPr>
          <w:p>
            <w:r>
              <w:rPr>
                <w:rFonts w:ascii="Calibri" w:hAnsi="Calibri"/>
                <w:b/>
                <w:color w:val="FFFFFF"/>
                <w:sz w:val="22"/>
              </w:rPr>
              <w:t>Theme</w:t>
            </w:r>
          </w:p>
        </w:tc>
        <w:tc>
          <w:tcPr>
            <w:tcW w:type="dxa" w:w="2880"/>
            <w:shd w:val="clear" w:color="auto" w:fill="3B4259"/>
          </w:tcPr>
          <w:p>
            <w:r>
              <w:rPr>
                <w:rFonts w:ascii="Calibri" w:hAnsi="Calibri"/>
                <w:b/>
                <w:color w:val="FFFFFF"/>
                <w:sz w:val="22"/>
              </w:rPr>
              <w:t>Shell Q2 2026 Commentary</w:t>
            </w:r>
          </w:p>
        </w:tc>
        <w:tc>
          <w:tcPr>
            <w:tcW w:type="dxa" w:w="2880"/>
            <w:shd w:val="clear" w:color="auto" w:fill="3B4259"/>
          </w:tcPr>
          <w:p>
            <w:r>
              <w:rPr>
                <w:rFonts w:ascii="Calibri" w:hAnsi="Calibri"/>
                <w:b/>
                <w:color w:val="FFFFFF"/>
                <w:sz w:val="22"/>
              </w:rPr>
              <w:t>XOM Read-Through / Implication</w:t>
            </w:r>
          </w:p>
        </w:tc>
      </w:tr>
      <w:tr>
        <w:tc>
          <w:tcPr>
            <w:tcW w:type="dxa" w:w="2880"/>
          </w:tcPr>
          <w:p>
            <w:r>
              <w:rPr>
                <w:rFonts w:ascii="Calibri" w:hAnsi="Calibri"/>
                <w:sz w:val="22"/>
              </w:rPr>
              <w:t>Overall Results</w:t>
            </w:r>
          </w:p>
        </w:tc>
        <w:tc>
          <w:tcPr>
            <w:tcW w:type="dxa" w:w="2880"/>
          </w:tcPr>
          <w:p>
            <w:r>
              <w:rPr>
                <w:rFonts w:ascii="Calibri" w:hAnsi="Calibri"/>
                <w:sz w:val="22"/>
              </w:rPr>
              <w:t>Adjusted earnings $9.8B; cash flow from operations &gt;$21B despite Middle East disruptions. “Very strong results driven by strong operational performance.” Macro described as “supportive.” Oil market “more of a seller’s market.”</w:t>
            </w:r>
          </w:p>
        </w:tc>
        <w:tc>
          <w:tcPr>
            <w:tcW w:type="dxa" w:w="2880"/>
          </w:tcPr>
          <w:p>
            <w:r>
              <w:rPr>
                <w:rFonts w:ascii="Calibri" w:hAnsi="Calibri"/>
                <w:b/>
                <w:color w:val="30A46C"/>
                <w:sz w:val="22"/>
              </w:rPr>
              <w:t>Strongly positive read-through. Shell’s $9.8B adjusted earnings and $21B+ operating cash flow in a disrupted environment validates the commodity tailwind thesis for XOM’s Q2 print.</w:t>
            </w:r>
          </w:p>
        </w:tc>
      </w:tr>
      <w:tr>
        <w:tc>
          <w:tcPr>
            <w:tcW w:type="dxa" w:w="2880"/>
          </w:tcPr>
          <w:p>
            <w:r>
              <w:rPr>
                <w:rFonts w:ascii="Calibri" w:hAnsi="Calibri"/>
                <w:sz w:val="22"/>
              </w:rPr>
              <w:t>Refining Utilization &amp; Margins</w:t>
            </w:r>
          </w:p>
        </w:tc>
        <w:tc>
          <w:tcPr>
            <w:tcW w:type="dxa" w:w="2880"/>
          </w:tcPr>
          <w:p>
            <w:r>
              <w:rPr>
                <w:rFonts w:ascii="Calibri" w:hAnsi="Calibri"/>
                <w:sz w:val="22"/>
              </w:rPr>
              <w:t>Refineries achieved record 102% utilization in a “high margin period.” Shifted production toward middle distillates (jet fuel). Pennsylvania Petrochemicals complex delivered best performance to date. Chemicals results best in over 5 years.</w:t>
            </w:r>
          </w:p>
        </w:tc>
        <w:tc>
          <w:tcPr>
            <w:tcW w:type="dxa" w:w="2880"/>
          </w:tcPr>
          <w:p>
            <w:r>
              <w:rPr>
                <w:rFonts w:ascii="Calibri" w:hAnsi="Calibri"/>
                <w:b/>
                <w:color w:val="30A46C"/>
                <w:sz w:val="22"/>
              </w:rPr>
              <w:t>Strongly positive for XOM’s Energy Products and Specialty Products segments. Record refinery utilization and historic chemical margins suggest XOM’s downstream should deliver a strong quarter.</w:t>
            </w:r>
          </w:p>
        </w:tc>
      </w:tr>
      <w:tr>
        <w:tc>
          <w:tcPr>
            <w:tcW w:type="dxa" w:w="2880"/>
          </w:tcPr>
          <w:p>
            <w:r>
              <w:rPr>
                <w:rFonts w:ascii="Calibri" w:hAnsi="Calibri"/>
                <w:sz w:val="22"/>
              </w:rPr>
              <w:t>LNG Trading &amp; Optimization</w:t>
            </w:r>
          </w:p>
        </w:tc>
        <w:tc>
          <w:tcPr>
            <w:tcW w:type="dxa" w:w="2880"/>
          </w:tcPr>
          <w:p>
            <w:r>
              <w:rPr>
                <w:rFonts w:ascii="Calibri" w:hAnsi="Calibri"/>
                <w:sz w:val="22"/>
              </w:rPr>
              <w:t>LNG trading and optimization captured “significant additional value compared with last quarter.” Strong performance across global portfolio helped offset lost Qatar volumes. LNG Canada JV achieved full capacity.</w:t>
            </w:r>
          </w:p>
        </w:tc>
        <w:tc>
          <w:tcPr>
            <w:tcW w:type="dxa" w:w="2880"/>
          </w:tcPr>
          <w:p>
            <w:r>
              <w:rPr>
                <w:rFonts w:ascii="Calibri" w:hAnsi="Calibri"/>
                <w:b/>
                <w:color w:val="30A46C"/>
                <w:sz w:val="22"/>
              </w:rPr>
              <w:t>Positive for XOM’s LNG trading. Golden Pass Train 1 is now producing into a tight LNG market; XOM’s global LNG portfolio should benefit from the same optimization opportunities Shell captured.</w:t>
            </w:r>
          </w:p>
        </w:tc>
      </w:tr>
      <w:tr>
        <w:tc>
          <w:tcPr>
            <w:tcW w:type="dxa" w:w="2880"/>
          </w:tcPr>
          <w:p>
            <w:r>
              <w:rPr>
                <w:rFonts w:ascii="Calibri" w:hAnsi="Calibri"/>
                <w:sz w:val="22"/>
              </w:rPr>
              <w:t>LNG Market Outlook</w:t>
            </w:r>
          </w:p>
        </w:tc>
        <w:tc>
          <w:tcPr>
            <w:tcW w:type="dxa" w:w="2880"/>
          </w:tcPr>
          <w:p>
            <w:r>
              <w:rPr>
                <w:rFonts w:ascii="Calibri" w:hAnsi="Calibri"/>
                <w:sz w:val="22"/>
              </w:rPr>
              <w:t>~25 million tonnes removed from market by Strait closure. European storage at ~50% (well below normal). LNG being redirected from Asia to Europe. “Tightness coming in the next quarter or so.” Long-term: 65% LNG market growth by 2050.</w:t>
            </w:r>
          </w:p>
        </w:tc>
        <w:tc>
          <w:tcPr>
            <w:tcW w:type="dxa" w:w="2880"/>
          </w:tcPr>
          <w:p>
            <w:r>
              <w:rPr>
                <w:rFonts w:ascii="Calibri" w:hAnsi="Calibri"/>
                <w:b/>
                <w:color w:val="30A46C"/>
                <w:sz w:val="22"/>
              </w:rPr>
              <w:t>Positive for XOM’s LNG strategy. Tight market validates XOM’s Golden Pass, Mozambique, and PNG LNG investments. European storage deficit supports elevated LNG prices into H2 2026.</w:t>
            </w:r>
          </w:p>
        </w:tc>
      </w:tr>
      <w:tr>
        <w:tc>
          <w:tcPr>
            <w:tcW w:type="dxa" w:w="2880"/>
          </w:tcPr>
          <w:p>
            <w:r>
              <w:rPr>
                <w:rFonts w:ascii="Calibri" w:hAnsi="Calibri"/>
                <w:sz w:val="22"/>
              </w:rPr>
              <w:t>Q3 2026 Outlook</w:t>
            </w:r>
          </w:p>
        </w:tc>
        <w:tc>
          <w:tcPr>
            <w:tcW w:type="dxa" w:w="2880"/>
          </w:tcPr>
          <w:p>
            <w:r>
              <w:rPr>
                <w:rFonts w:ascii="Calibri" w:hAnsi="Calibri"/>
                <w:sz w:val="22"/>
              </w:rPr>
              <w:t>Positive refining margin environment expected in Q3, but chemical spreads beginning to soften. Less volatility expected to reduce trading contribution slightly. Lubricants business more challenging due to Pearl GTL volumes offline.</w:t>
            </w:r>
          </w:p>
        </w:tc>
        <w:tc>
          <w:tcPr>
            <w:tcW w:type="dxa" w:w="2880"/>
          </w:tcPr>
          <w:p>
            <w:r>
              <w:rPr>
                <w:rFonts w:ascii="Calibri" w:hAnsi="Calibri"/>
                <w:sz w:val="22"/>
              </w:rPr>
              <w:t>Mixed forward read-through for XOM. Refining margins likely to remain elevated in Q3 (positive), but chemical/specialty products margins may face some softening. Watch XOM’s Product Solutions segment guidance.</w:t>
            </w:r>
          </w:p>
        </w:tc>
      </w:tr>
      <w:tr>
        <w:tc>
          <w:tcPr>
            <w:tcW w:type="dxa" w:w="2880"/>
          </w:tcPr>
          <w:p>
            <w:r>
              <w:rPr>
                <w:rFonts w:ascii="Calibri" w:hAnsi="Calibri"/>
                <w:sz w:val="22"/>
              </w:rPr>
              <w:t>Cost Savings</w:t>
            </w:r>
          </w:p>
        </w:tc>
        <w:tc>
          <w:tcPr>
            <w:tcW w:type="dxa" w:w="2880"/>
          </w:tcPr>
          <w:p>
            <w:r>
              <w:rPr>
                <w:rFonts w:ascii="Calibri" w:hAnsi="Calibri"/>
                <w:sz w:val="22"/>
              </w:rPr>
              <w:t>$700M structural cost savings delivered in 2026 YTD; ~$6B total since 2022. Halfway to $5-7B target. Inflation in system at ~5-6% but being offset by scale and framework agreements.</w:t>
            </w:r>
          </w:p>
        </w:tc>
        <w:tc>
          <w:tcPr>
            <w:tcW w:type="dxa" w:w="2880"/>
          </w:tcPr>
          <w:p>
            <w:r>
              <w:rPr>
                <w:rFonts w:ascii="Calibri" w:hAnsi="Calibri"/>
                <w:sz w:val="22"/>
              </w:rPr>
              <w:t>Consistent with XOM’s own structural cost savings narrative ($15B cumulative, targeting $20B by 2030). Industry-wide cost inflation is a watch item but XOM’s scale provides similar offset capability.</w:t>
            </w:r>
          </w:p>
        </w:tc>
      </w:tr>
    </w:tbl>
    <w:p>
      <w:pPr>
        <w:pStyle w:val="Heading2"/>
      </w:pPr>
      <w:r>
        <w:rPr>
          <w:rFonts w:ascii="Calibri" w:hAnsi="Calibri"/>
          <w:b/>
          <w:color w:val="3B4259"/>
          <w:sz w:val="28"/>
        </w:rPr>
        <w:t>Equinor (EQNR) — Q2 2026 Earnings Call (July 22, 2026)</w:t>
      </w:r>
    </w:p>
    <w:p>
      <w:r>
        <w:rPr>
          <w:rFonts w:ascii="Calibri" w:hAnsi="Calibri"/>
          <w:b/>
          <w:color w:val="525866"/>
          <w:sz w:val="22"/>
        </w:rPr>
        <w:t xml:space="preserve">Relevance: </w:t>
      </w:r>
      <w:r>
        <w:rPr>
          <w:rFonts w:ascii="Calibri" w:hAnsi="Calibri"/>
          <w:color w:val="525866"/>
          <w:sz w:val="22"/>
        </w:rPr>
        <w:t>Equinor is a major integrated peer with significant refining, LNG, and crude trading operations. Their Q2 2026 results provide granular data on refining margins, LNG market conditions, and commodity price realizations during the quarter.</w:t>
      </w:r>
    </w:p>
    <w:tbl>
      <w:tblPr>
        <w:tblStyle w:val="TableGrid"/>
        <w:tblW w:type="auto" w:w="0"/>
        <w:tblLook w:firstColumn="1" w:firstRow="1" w:lastColumn="0" w:lastRow="0" w:noHBand="0" w:noVBand="1" w:val="04A0"/>
      </w:tblPr>
      <w:tblGrid>
        <w:gridCol w:w="2880"/>
        <w:gridCol w:w="2880"/>
        <w:gridCol w:w="2880"/>
      </w:tblGrid>
      <w:tr>
        <w:tc>
          <w:tcPr>
            <w:tcW w:type="dxa" w:w="2880"/>
            <w:shd w:val="clear" w:color="auto" w:fill="3B4259"/>
          </w:tcPr>
          <w:p>
            <w:r>
              <w:rPr>
                <w:rFonts w:ascii="Calibri" w:hAnsi="Calibri"/>
                <w:b/>
                <w:color w:val="FFFFFF"/>
                <w:sz w:val="22"/>
              </w:rPr>
              <w:t>Theme</w:t>
            </w:r>
          </w:p>
        </w:tc>
        <w:tc>
          <w:tcPr>
            <w:tcW w:type="dxa" w:w="2880"/>
            <w:shd w:val="clear" w:color="auto" w:fill="3B4259"/>
          </w:tcPr>
          <w:p>
            <w:r>
              <w:rPr>
                <w:rFonts w:ascii="Calibri" w:hAnsi="Calibri"/>
                <w:b/>
                <w:color w:val="FFFFFF"/>
                <w:sz w:val="22"/>
              </w:rPr>
              <w:t>Equinor Q2 2026 Commentary</w:t>
            </w:r>
          </w:p>
        </w:tc>
        <w:tc>
          <w:tcPr>
            <w:tcW w:type="dxa" w:w="2880"/>
            <w:shd w:val="clear" w:color="auto" w:fill="3B4259"/>
          </w:tcPr>
          <w:p>
            <w:r>
              <w:rPr>
                <w:rFonts w:ascii="Calibri" w:hAnsi="Calibri"/>
                <w:b/>
                <w:color w:val="FFFFFF"/>
                <w:sz w:val="22"/>
              </w:rPr>
              <w:t>XOM Read-Through / Implication</w:t>
            </w:r>
          </w:p>
        </w:tc>
      </w:tr>
      <w:tr>
        <w:tc>
          <w:tcPr>
            <w:tcW w:type="dxa" w:w="2880"/>
          </w:tcPr>
          <w:p>
            <w:r>
              <w:rPr>
                <w:rFonts w:ascii="Calibri" w:hAnsi="Calibri"/>
                <w:sz w:val="22"/>
              </w:rPr>
              <w:t>Refining Margins</w:t>
            </w:r>
          </w:p>
        </w:tc>
        <w:tc>
          <w:tcPr>
            <w:tcW w:type="dxa" w:w="2880"/>
          </w:tcPr>
          <w:p>
            <w:r>
              <w:rPr>
                <w:rFonts w:ascii="Calibri" w:hAnsi="Calibri"/>
                <w:sz w:val="22"/>
              </w:rPr>
              <w:t>Refinery margin for Q2 was ~$25/bbl, described as “very significant.” Performance continues to deliver strong results into Q3. Product market described as “even tighter” than oil market.</w:t>
            </w:r>
          </w:p>
        </w:tc>
        <w:tc>
          <w:tcPr>
            <w:tcW w:type="dxa" w:w="2880"/>
          </w:tcPr>
          <w:p>
            <w:r>
              <w:rPr>
                <w:rFonts w:ascii="Calibri" w:hAnsi="Calibri"/>
                <w:b/>
                <w:color w:val="30A46C"/>
                <w:sz w:val="22"/>
              </w:rPr>
              <w:t>Strongly positive for XOM’s Energy Products segment. $25/bbl refining margins in Q2 are well above historical norms; XOM’s large U.S. refining footprint (including Beaumont expansion) should capture similar or better margins.</w:t>
            </w:r>
          </w:p>
        </w:tc>
      </w:tr>
      <w:tr>
        <w:tc>
          <w:tcPr>
            <w:tcW w:type="dxa" w:w="2880"/>
          </w:tcPr>
          <w:p>
            <w:r>
              <w:rPr>
                <w:rFonts w:ascii="Calibri" w:hAnsi="Calibri"/>
                <w:sz w:val="22"/>
              </w:rPr>
              <w:t>Crude Trading</w:t>
            </w:r>
          </w:p>
        </w:tc>
        <w:tc>
          <w:tcPr>
            <w:tcW w:type="dxa" w:w="2880"/>
          </w:tcPr>
          <w:p>
            <w:r>
              <w:rPr>
                <w:rFonts w:ascii="Calibri" w:hAnsi="Calibri"/>
                <w:sz w:val="22"/>
              </w:rPr>
              <w:t>Crude trading made “significant contributions to results.” MMP segment delivered $777M pre-tax vs. $400M quarterly guidance. Driven by crude trading, strong refinery performance, volatility, geographical dislocations, and time arbitrage.</w:t>
            </w:r>
          </w:p>
        </w:tc>
        <w:tc>
          <w:tcPr>
            <w:tcW w:type="dxa" w:w="2880"/>
          </w:tcPr>
          <w:p>
            <w:r>
              <w:rPr>
                <w:rFonts w:ascii="Calibri" w:hAnsi="Calibri"/>
                <w:b/>
                <w:color w:val="30A46C"/>
                <w:sz w:val="22"/>
              </w:rPr>
              <w:t>Positive for XOM’s trading organization. The same volatility and geographical dislocation drivers that benefited Equinor’s trading should benefit XOM’s larger, more global trading operation.</w:t>
            </w:r>
          </w:p>
        </w:tc>
      </w:tr>
      <w:tr>
        <w:tc>
          <w:tcPr>
            <w:tcW w:type="dxa" w:w="2880"/>
          </w:tcPr>
          <w:p>
            <w:r>
              <w:rPr>
                <w:rFonts w:ascii="Calibri" w:hAnsi="Calibri"/>
                <w:sz w:val="22"/>
              </w:rPr>
              <w:t>LNG Market</w:t>
            </w:r>
          </w:p>
        </w:tc>
        <w:tc>
          <w:tcPr>
            <w:tcW w:type="dxa" w:w="2880"/>
          </w:tcPr>
          <w:p>
            <w:r>
              <w:rPr>
                <w:rFonts w:ascii="Calibri" w:hAnsi="Calibri"/>
                <w:sz w:val="22"/>
              </w:rPr>
              <w:t>Strait of Hormuz shuts in ~20% of global LNG. European storage at 53%, &gt;15 percentage points below normal. Europe will not reach 80% storage before winter. Russian gas leaving Europe (LNG stopped this year, piped gas next year). LNG share of European supply to grow from 30% to 50% by 2030.</w:t>
            </w:r>
          </w:p>
        </w:tc>
        <w:tc>
          <w:tcPr>
            <w:tcW w:type="dxa" w:w="2880"/>
          </w:tcPr>
          <w:p>
            <w:r>
              <w:rPr>
                <w:rFonts w:ascii="Calibri" w:hAnsi="Calibri"/>
                <w:b/>
                <w:color w:val="30A46C"/>
                <w:sz w:val="22"/>
              </w:rPr>
              <w:t>Strongly positive for XOM’s LNG portfolio. European storage deficit and Russian gas exit create structural LNG demand that benefits Golden Pass, Mozambique, and PNG projects. XOM’s LNG FID timing (2026) looks well-positioned.</w:t>
            </w:r>
          </w:p>
        </w:tc>
      </w:tr>
      <w:tr>
        <w:tc>
          <w:tcPr>
            <w:tcW w:type="dxa" w:w="2880"/>
          </w:tcPr>
          <w:p>
            <w:r>
              <w:rPr>
                <w:rFonts w:ascii="Calibri" w:hAnsi="Calibri"/>
                <w:sz w:val="22"/>
              </w:rPr>
              <w:t>Commodity Price Realizations</w:t>
            </w:r>
          </w:p>
        </w:tc>
        <w:tc>
          <w:tcPr>
            <w:tcW w:type="dxa" w:w="2880"/>
          </w:tcPr>
          <w:p>
            <w:r>
              <w:rPr>
                <w:rFonts w:ascii="Calibri" w:hAnsi="Calibri"/>
                <w:sz w:val="22"/>
              </w:rPr>
              <w:t>Liquids and European gas prices higher YoY; US gas prices lower YoY (Henry Hub $2.9/bbl; Equinor average $2.3). International MP prices up ~50%. US gas prices down 16% YoY.</w:t>
            </w:r>
          </w:p>
        </w:tc>
        <w:tc>
          <w:tcPr>
            <w:tcW w:type="dxa" w:w="2880"/>
          </w:tcPr>
          <w:p>
            <w:r>
              <w:rPr>
                <w:rFonts w:ascii="Calibri" w:hAnsi="Calibri"/>
                <w:sz w:val="22"/>
              </w:rPr>
              <w:t>Mixed for XOM. Higher liquids prices are the dominant driver (positive). Lower US gas prices are a modest headwind for XOM’s Permian associated gas and domestic gas production. Net: liquids uplift far outweighs gas headwind.</w:t>
            </w:r>
          </w:p>
        </w:tc>
      </w:tr>
      <w:tr>
        <w:tc>
          <w:tcPr>
            <w:tcW w:type="dxa" w:w="2880"/>
          </w:tcPr>
          <w:p>
            <w:r>
              <w:rPr>
                <w:rFonts w:ascii="Calibri" w:hAnsi="Calibri"/>
                <w:sz w:val="22"/>
              </w:rPr>
              <w:t>Capital Returns</w:t>
            </w:r>
          </w:p>
        </w:tc>
        <w:tc>
          <w:tcPr>
            <w:tcW w:type="dxa" w:w="2880"/>
          </w:tcPr>
          <w:p>
            <w:r>
              <w:rPr>
                <w:rFonts w:ascii="Calibri" w:hAnsi="Calibri"/>
                <w:sz w:val="22"/>
              </w:rPr>
              <w:t>Doubled 2026 share buyback program from $1.5B to $3B. Third tranche of $1.125B announced. Net debt ratio decreased to 10.4%; expected below 10% by year-end.</w:t>
            </w:r>
          </w:p>
        </w:tc>
        <w:tc>
          <w:tcPr>
            <w:tcW w:type="dxa" w:w="2880"/>
          </w:tcPr>
          <w:p>
            <w:r>
              <w:rPr>
                <w:rFonts w:ascii="Calibri" w:hAnsi="Calibri"/>
                <w:sz w:val="22"/>
              </w:rPr>
              <w:t>Positive signal for XOM’s capital return posture. Peer doubling of buybacks in a high-cash-flow environment suggests XOM may also accelerate shareholder returns; management’s sequencing discipline (build cash, address debt, then distribute) may limit near-term acceleration.</w:t>
            </w:r>
          </w:p>
        </w:tc>
      </w:tr>
    </w:tbl>
    <w:p>
      <w:pPr>
        <w:pStyle w:val="Heading2"/>
      </w:pPr>
      <w:r>
        <w:rPr>
          <w:rFonts w:ascii="Calibri" w:hAnsi="Calibri"/>
          <w:b/>
          <w:color w:val="3B4259"/>
          <w:sz w:val="28"/>
        </w:rPr>
        <w:t>EOG Resources (EOG) — JP Morgan Natural Resources Conference (June 23, 2026)</w:t>
      </w:r>
    </w:p>
    <w:p>
      <w:r>
        <w:rPr>
          <w:rFonts w:ascii="Calibri" w:hAnsi="Calibri"/>
          <w:b/>
          <w:color w:val="525866"/>
          <w:sz w:val="22"/>
        </w:rPr>
        <w:t xml:space="preserve">Relevance: </w:t>
      </w:r>
      <w:r>
        <w:rPr>
          <w:rFonts w:ascii="Calibri" w:hAnsi="Calibri"/>
          <w:color w:val="525866"/>
          <w:sz w:val="22"/>
        </w:rPr>
        <w:t>EOG’s COO provided current-quarter color at the JP Morgan conference on June 23, 2026 (within Q2 2026). EOG is a major Permian and E&amp;P peer; their commentary on Permian productivity, supply chain, and macro outlook is directly relevant to XOM’s upstream.</w:t>
      </w:r>
    </w:p>
    <w:tbl>
      <w:tblPr>
        <w:tblStyle w:val="TableGrid"/>
        <w:tblW w:type="auto" w:w="0"/>
        <w:tblLook w:firstColumn="1" w:firstRow="1" w:lastColumn="0" w:lastRow="0" w:noHBand="0" w:noVBand="1" w:val="04A0"/>
      </w:tblPr>
      <w:tblGrid>
        <w:gridCol w:w="2880"/>
        <w:gridCol w:w="2880"/>
        <w:gridCol w:w="2880"/>
      </w:tblGrid>
      <w:tr>
        <w:tc>
          <w:tcPr>
            <w:tcW w:type="dxa" w:w="2880"/>
            <w:shd w:val="clear" w:color="auto" w:fill="3B4259"/>
          </w:tcPr>
          <w:p>
            <w:r>
              <w:rPr>
                <w:rFonts w:ascii="Calibri" w:hAnsi="Calibri"/>
                <w:b/>
                <w:color w:val="FFFFFF"/>
                <w:sz w:val="22"/>
              </w:rPr>
              <w:t>Theme</w:t>
            </w:r>
          </w:p>
        </w:tc>
        <w:tc>
          <w:tcPr>
            <w:tcW w:type="dxa" w:w="2880"/>
            <w:shd w:val="clear" w:color="auto" w:fill="3B4259"/>
          </w:tcPr>
          <w:p>
            <w:r>
              <w:rPr>
                <w:rFonts w:ascii="Calibri" w:hAnsi="Calibri"/>
                <w:b/>
                <w:color w:val="FFFFFF"/>
                <w:sz w:val="22"/>
              </w:rPr>
              <w:t>EOG Q2 2026 Commentary (June 23, 2026)</w:t>
            </w:r>
          </w:p>
        </w:tc>
        <w:tc>
          <w:tcPr>
            <w:tcW w:type="dxa" w:w="2880"/>
            <w:shd w:val="clear" w:color="auto" w:fill="3B4259"/>
          </w:tcPr>
          <w:p>
            <w:r>
              <w:rPr>
                <w:rFonts w:ascii="Calibri" w:hAnsi="Calibri"/>
                <w:b/>
                <w:color w:val="FFFFFF"/>
                <w:sz w:val="22"/>
              </w:rPr>
              <w:t>XOM Read-Through / Implication</w:t>
            </w:r>
          </w:p>
        </w:tc>
      </w:tr>
      <w:tr>
        <w:tc>
          <w:tcPr>
            <w:tcW w:type="dxa" w:w="2880"/>
          </w:tcPr>
          <w:p>
            <w:r>
              <w:rPr>
                <w:rFonts w:ascii="Calibri" w:hAnsi="Calibri"/>
                <w:sz w:val="22"/>
              </w:rPr>
              <w:t>Macro / Crude Oil Outlook</w:t>
            </w:r>
          </w:p>
        </w:tc>
        <w:tc>
          <w:tcPr>
            <w:tcW w:type="dxa" w:w="2880"/>
          </w:tcPr>
          <w:p>
            <w:r>
              <w:rPr>
                <w:rFonts w:ascii="Calibri" w:hAnsi="Calibri"/>
                <w:sz w:val="22"/>
              </w:rPr>
              <w:t>~1.3-1.5 billion barrels of total capacity taken offline over 4 months due to Iran conflict. World inventories “extremely low.” After Strait reopens: ~50% of capacity back in month 1, 90-95% in 3-4 months. WTI floor ~$60 (SPR refill support); average ~$80 over next 2 years. “Fairly robust market.”</w:t>
            </w:r>
          </w:p>
        </w:tc>
        <w:tc>
          <w:tcPr>
            <w:tcW w:type="dxa" w:w="2880"/>
          </w:tcPr>
          <w:p>
            <w:r>
              <w:rPr>
                <w:rFonts w:ascii="Calibri" w:hAnsi="Calibri"/>
                <w:b/>
                <w:color w:val="30A46C"/>
                <w:sz w:val="22"/>
              </w:rPr>
              <w:t>Positive macro backdrop for XOM’s Q2 upstream. EOG’s $80 WTI average outlook over 2 years supports XOM’s long-cycle investment thesis and validates the commodity tailwind embedded in Q2 consensus.</w:t>
            </w:r>
          </w:p>
        </w:tc>
      </w:tr>
      <w:tr>
        <w:tc>
          <w:tcPr>
            <w:tcW w:type="dxa" w:w="2880"/>
          </w:tcPr>
          <w:p>
            <w:r>
              <w:rPr>
                <w:rFonts w:ascii="Calibri" w:hAnsi="Calibri"/>
                <w:sz w:val="22"/>
              </w:rPr>
              <w:t>Permian Productivity</w:t>
            </w:r>
          </w:p>
        </w:tc>
        <w:tc>
          <w:tcPr>
            <w:tcW w:type="dxa" w:w="2880"/>
          </w:tcPr>
          <w:p>
            <w:r>
              <w:rPr>
                <w:rFonts w:ascii="Calibri" w:hAnsi="Calibri"/>
                <w:sz w:val="22"/>
              </w:rPr>
              <w:t>Delaware Basin (Permian) productivity in 2026 “consistent, if not actually just a little bit better” after a designed step-down in 2025. Operators drilling 3-5 mile laterals vs. 1.5-2 miles previously. Technology and innovation continue to drive cost basis lower.</w:t>
            </w:r>
          </w:p>
        </w:tc>
        <w:tc>
          <w:tcPr>
            <w:tcW w:type="dxa" w:w="2880"/>
          </w:tcPr>
          <w:p>
            <w:r>
              <w:rPr>
                <w:rFonts w:ascii="Calibri" w:hAnsi="Calibri"/>
                <w:b/>
                <w:color w:val="30A46C"/>
                <w:sz w:val="22"/>
              </w:rPr>
              <w:t>Positive for XOM’s Permian operations. Improving Permian productivity across the basin supports XOM’s 1.8 MMboe/d FY2026 target and “no near-term peak” thesis. XOM’s proprietary technology (cube development, lightweight proppant) provides additional upside.</w:t>
            </w:r>
          </w:p>
        </w:tc>
      </w:tr>
      <w:tr>
        <w:tc>
          <w:tcPr>
            <w:tcW w:type="dxa" w:w="2880"/>
          </w:tcPr>
          <w:p>
            <w:r>
              <w:rPr>
                <w:rFonts w:ascii="Calibri" w:hAnsi="Calibri"/>
                <w:sz w:val="22"/>
              </w:rPr>
              <w:t>Supply Chain / Strait Impact</w:t>
            </w:r>
          </w:p>
        </w:tc>
        <w:tc>
          <w:tcPr>
            <w:tcW w:type="dxa" w:w="2880"/>
          </w:tcPr>
          <w:p>
            <w:r>
              <w:rPr>
                <w:rFonts w:ascii="Calibri" w:hAnsi="Calibri"/>
                <w:sz w:val="22"/>
              </w:rPr>
              <w:t>Bahrain operations experienced “a little bit of a delay” from supply chain disruptions (wellheads, equipment) due to Strait closure. Still on schedule for H2 2026 results. UAE unconventional concession (900,000 acres) operations ongoing.</w:t>
            </w:r>
          </w:p>
        </w:tc>
        <w:tc>
          <w:tcPr>
            <w:tcW w:type="dxa" w:w="2880"/>
          </w:tcPr>
          <w:p>
            <w:r>
              <w:rPr>
                <w:rFonts w:ascii="Calibri" w:hAnsi="Calibri"/>
                <w:sz w:val="22"/>
              </w:rPr>
              <w:t>Relevant for XOM’s international operations. Supply chain disruptions from Strait closure could affect XOM’s Middle East and international project timelines; management should address this on the Q2 call.</w:t>
            </w:r>
          </w:p>
        </w:tc>
      </w:tr>
      <w:tr>
        <w:tc>
          <w:tcPr>
            <w:tcW w:type="dxa" w:w="2880"/>
          </w:tcPr>
          <w:p>
            <w:r>
              <w:rPr>
                <w:rFonts w:ascii="Calibri" w:hAnsi="Calibri"/>
                <w:sz w:val="22"/>
              </w:rPr>
              <w:t>Natural Gas / LNG Demand</w:t>
            </w:r>
          </w:p>
        </w:tc>
        <w:tc>
          <w:tcPr>
            <w:tcW w:type="dxa" w:w="2880"/>
          </w:tcPr>
          <w:p>
            <w:r>
              <w:rPr>
                <w:rFonts w:ascii="Calibri" w:hAnsi="Calibri"/>
                <w:sz w:val="22"/>
              </w:rPr>
              <w:t>US gas inventories at 5-year high. Key demand drivers: LNG coastal expansion and data center/AI power demand. Waha hub expected to turn positive September/October as new egress capacity (~5-6 Bcf) comes online. Long-term constructive on gas.</w:t>
            </w:r>
          </w:p>
        </w:tc>
        <w:tc>
          <w:tcPr>
            <w:tcW w:type="dxa" w:w="2880"/>
          </w:tcPr>
          <w:p>
            <w:r>
              <w:rPr>
                <w:rFonts w:ascii="Calibri" w:hAnsi="Calibri"/>
                <w:sz w:val="22"/>
              </w:rPr>
              <w:t>Mixed for XOM. High US gas inventories and low Waha prices are a near-term headwind for XOM’s Permian associated gas. However, LNG demand growth (Golden Pass) and data center power demand are medium-term tailwinds.</w:t>
            </w:r>
          </w:p>
        </w:tc>
      </w:tr>
      <w:tr>
        <w:tc>
          <w:tcPr>
            <w:tcW w:type="dxa" w:w="2880"/>
          </w:tcPr>
          <w:p>
            <w:r>
              <w:rPr>
                <w:rFonts w:ascii="Calibri" w:hAnsi="Calibri"/>
                <w:sz w:val="22"/>
              </w:rPr>
              <w:t>Q2 Operational Tracking</w:t>
            </w:r>
          </w:p>
        </w:tc>
        <w:tc>
          <w:tcPr>
            <w:tcW w:type="dxa" w:w="2880"/>
          </w:tcPr>
          <w:p>
            <w:r>
              <w:rPr>
                <w:rFonts w:ascii="Calibri" w:hAnsi="Calibri"/>
                <w:sz w:val="22"/>
              </w:rPr>
              <w:t>EOG COO: “After Q1, we had a phenomenal start to the year. Under CapEx, over on volumes, under on cash costs — everything firing on all cylinders. Cash flows went up immensely with the forward strip moving up.”</w:t>
            </w:r>
          </w:p>
        </w:tc>
        <w:tc>
          <w:tcPr>
            <w:tcW w:type="dxa" w:w="2880"/>
          </w:tcPr>
          <w:p>
            <w:r>
              <w:rPr>
                <w:rFonts w:ascii="Calibri" w:hAnsi="Calibri"/>
                <w:b/>
                <w:color w:val="30A46C"/>
                <w:sz w:val="22"/>
              </w:rPr>
              <w:t>Positive read-through for XOM’s Q2 operational execution. If EOG (a disciplined E&amp;P operator) was tracking ahead on volumes and below on costs entering Q2, XOM’s Permian operations likely benefited from similar conditions.</w:t>
            </w:r>
          </w:p>
        </w:tc>
      </w:tr>
    </w:tbl>
    <w:p>
      <w:pPr>
        <w:pStyle w:val="Heading2"/>
      </w:pPr>
      <w:r>
        <w:rPr>
          <w:rFonts w:ascii="Calibri" w:hAnsi="Calibri"/>
          <w:b/>
          <w:color w:val="3B4259"/>
          <w:sz w:val="28"/>
        </w:rPr>
        <w:t>Chevron (CVX) — JP Morgan Natural Resources Conference (June 23, 2026)</w:t>
      </w:r>
    </w:p>
    <w:p>
      <w:r>
        <w:rPr>
          <w:rFonts w:ascii="Calibri" w:hAnsi="Calibri"/>
          <w:b/>
          <w:color w:val="525866"/>
          <w:sz w:val="22"/>
        </w:rPr>
        <w:t xml:space="preserve">Relevance: </w:t>
      </w:r>
      <w:r>
        <w:rPr>
          <w:rFonts w:ascii="Calibri" w:hAnsi="Calibri"/>
          <w:color w:val="525866"/>
          <w:sz w:val="22"/>
        </w:rPr>
        <w:t>Chevron’s President of New Energies provided current-quarter color at the JP Morgan conference on June 23, 2026. Chevron is XOM’s closest U.S. integrated peer with overlapping Permian, Guyana (via Hess acquisition), and LNG exposure.</w:t>
      </w:r>
    </w:p>
    <w:tbl>
      <w:tblPr>
        <w:tblStyle w:val="TableGrid"/>
        <w:tblW w:type="auto" w:w="0"/>
        <w:tblLook w:firstColumn="1" w:firstRow="1" w:lastColumn="0" w:lastRow="0" w:noHBand="0" w:noVBand="1" w:val="04A0"/>
      </w:tblPr>
      <w:tblGrid>
        <w:gridCol w:w="2880"/>
        <w:gridCol w:w="2880"/>
        <w:gridCol w:w="2880"/>
      </w:tblGrid>
      <w:tr>
        <w:tc>
          <w:tcPr>
            <w:tcW w:type="dxa" w:w="2880"/>
            <w:shd w:val="clear" w:color="auto" w:fill="3B4259"/>
          </w:tcPr>
          <w:p>
            <w:r>
              <w:rPr>
                <w:rFonts w:ascii="Calibri" w:hAnsi="Calibri"/>
                <w:b/>
                <w:color w:val="FFFFFF"/>
                <w:sz w:val="22"/>
              </w:rPr>
              <w:t>Theme</w:t>
            </w:r>
          </w:p>
        </w:tc>
        <w:tc>
          <w:tcPr>
            <w:tcW w:type="dxa" w:w="2880"/>
            <w:shd w:val="clear" w:color="auto" w:fill="3B4259"/>
          </w:tcPr>
          <w:p>
            <w:r>
              <w:rPr>
                <w:rFonts w:ascii="Calibri" w:hAnsi="Calibri"/>
                <w:b/>
                <w:color w:val="FFFFFF"/>
                <w:sz w:val="22"/>
              </w:rPr>
              <w:t>Chevron Q2 2026 Commentary (June 23, 2026)</w:t>
            </w:r>
          </w:p>
        </w:tc>
        <w:tc>
          <w:tcPr>
            <w:tcW w:type="dxa" w:w="2880"/>
            <w:shd w:val="clear" w:color="auto" w:fill="3B4259"/>
          </w:tcPr>
          <w:p>
            <w:r>
              <w:rPr>
                <w:rFonts w:ascii="Calibri" w:hAnsi="Calibri"/>
                <w:b/>
                <w:color w:val="FFFFFF"/>
                <w:sz w:val="22"/>
              </w:rPr>
              <w:t>XOM Read-Through / Implication</w:t>
            </w:r>
          </w:p>
        </w:tc>
      </w:tr>
      <w:tr>
        <w:tc>
          <w:tcPr>
            <w:tcW w:type="dxa" w:w="2880"/>
          </w:tcPr>
          <w:p>
            <w:r>
              <w:rPr>
                <w:rFonts w:ascii="Calibri" w:hAnsi="Calibri"/>
                <w:sz w:val="22"/>
              </w:rPr>
              <w:t>Macro Environment</w:t>
            </w:r>
          </w:p>
        </w:tc>
        <w:tc>
          <w:tcPr>
            <w:tcW w:type="dxa" w:w="2880"/>
          </w:tcPr>
          <w:p>
            <w:r>
              <w:rPr>
                <w:rFonts w:ascii="Calibri" w:hAnsi="Calibri"/>
                <w:sz w:val="22"/>
              </w:rPr>
              <w:t>“A lot of volatility in 2026 with the Iran conflict.” “Lots of ups and downs.” Described as a “volatile macro environment.” Focus on “safe, reliable execution” especially in volatile environments.</w:t>
            </w:r>
          </w:p>
        </w:tc>
        <w:tc>
          <w:tcPr>
            <w:tcW w:type="dxa" w:w="2880"/>
          </w:tcPr>
          <w:p>
            <w:r>
              <w:rPr>
                <w:rFonts w:ascii="Calibri" w:hAnsi="Calibri"/>
                <w:sz w:val="22"/>
              </w:rPr>
              <w:t>Consistent with XOM’s own Q1 messaging. Volatility benefits XOM’s integrated model (trading, optimization) more than pure-play E&amp;Ps. Execution focus is a positive signal for operational delivery.</w:t>
            </w:r>
          </w:p>
        </w:tc>
      </w:tr>
      <w:tr>
        <w:tc>
          <w:tcPr>
            <w:tcW w:type="dxa" w:w="2880"/>
          </w:tcPr>
          <w:p>
            <w:r>
              <w:rPr>
                <w:rFonts w:ascii="Calibri" w:hAnsi="Calibri"/>
                <w:sz w:val="22"/>
              </w:rPr>
              <w:t>Cost Savings</w:t>
            </w:r>
          </w:p>
        </w:tc>
        <w:tc>
          <w:tcPr>
            <w:tcW w:type="dxa" w:w="2880"/>
          </w:tcPr>
          <w:p>
            <w:r>
              <w:rPr>
                <w:rFonts w:ascii="Calibri" w:hAnsi="Calibri"/>
                <w:sz w:val="22"/>
              </w:rPr>
              <w:t>Expects $3-4B of cost savings by end of 2026, each and every year. Capital for new 2.7 GW power project with Microsoft already factored into existing capital guidance — no change to CapEx framework.</w:t>
            </w:r>
          </w:p>
        </w:tc>
        <w:tc>
          <w:tcPr>
            <w:tcW w:type="dxa" w:w="2880"/>
          </w:tcPr>
          <w:p>
            <w:r>
              <w:rPr>
                <w:rFonts w:ascii="Calibri" w:hAnsi="Calibri"/>
                <w:sz w:val="22"/>
              </w:rPr>
              <w:t>Positive read-through for XOM’s cost discipline narrative. Industry-wide cost savings of $3-4B/year at Chevron scale validates XOM’s $15B cumulative savings claim and $20B target. Capital discipline maintained despite high prices.</w:t>
            </w:r>
          </w:p>
        </w:tc>
      </w:tr>
      <w:tr>
        <w:tc>
          <w:tcPr>
            <w:tcW w:type="dxa" w:w="2880"/>
          </w:tcPr>
          <w:p>
            <w:r>
              <w:rPr>
                <w:rFonts w:ascii="Calibri" w:hAnsi="Calibri"/>
                <w:sz w:val="22"/>
              </w:rPr>
              <w:t>Equipment / Supply Chain</w:t>
            </w:r>
          </w:p>
        </w:tc>
        <w:tc>
          <w:tcPr>
            <w:tcW w:type="dxa" w:w="2880"/>
          </w:tcPr>
          <w:p>
            <w:r>
              <w:rPr>
                <w:rFonts w:ascii="Calibri" w:hAnsi="Calibri"/>
                <w:sz w:val="22"/>
              </w:rPr>
              <w:t>Secured GE turbines “two years ago” to get ahead of market bottleneck. Proactive supply chain management cited as competitive advantage.</w:t>
            </w:r>
          </w:p>
        </w:tc>
        <w:tc>
          <w:tcPr>
            <w:tcW w:type="dxa" w:w="2880"/>
          </w:tcPr>
          <w:p>
            <w:r>
              <w:rPr>
                <w:rFonts w:ascii="Calibri" w:hAnsi="Calibri"/>
                <w:sz w:val="22"/>
              </w:rPr>
              <w:t>Relevant risk flag for XOM. If Chevron had to lock in turbines 2 years ago to avoid bottlenecks, XOM’s Golden Pass Train 2/3 and LNG project timelines may face similar equipment constraints. Watch for commentary on cold box lead times.</w:t>
            </w:r>
          </w:p>
        </w:tc>
      </w:tr>
      <w:tr>
        <w:tc>
          <w:tcPr>
            <w:tcW w:type="dxa" w:w="2880"/>
          </w:tcPr>
          <w:p>
            <w:r>
              <w:rPr>
                <w:rFonts w:ascii="Calibri" w:hAnsi="Calibri"/>
                <w:sz w:val="22"/>
              </w:rPr>
              <w:t>Power / Data Center Demand</w:t>
            </w:r>
          </w:p>
        </w:tc>
        <w:tc>
          <w:tcPr>
            <w:tcW w:type="dxa" w:w="2880"/>
          </w:tcPr>
          <w:p>
            <w:r>
              <w:rPr>
                <w:rFonts w:ascii="Calibri" w:hAnsi="Calibri"/>
                <w:sz w:val="22"/>
              </w:rPr>
              <w:t>Announced 2.7 GW power project with Microsoft in West Texas (Permian). Demand for electricity “far exceeding supply” — described as a “structural shift.” Targeting mid-teens returns. FID before year-end 2026.</w:t>
            </w:r>
          </w:p>
        </w:tc>
        <w:tc>
          <w:tcPr>
            <w:tcW w:type="dxa" w:w="2880"/>
          </w:tcPr>
          <w:p>
            <w:r>
              <w:rPr>
                <w:rFonts w:ascii="Calibri" w:hAnsi="Calibri"/>
                <w:sz w:val="22"/>
              </w:rPr>
              <w:t>Positive for XOM’s data center / power strategy. XOM is in discussions with hyperscalers for decarbonized natural gas power in the Gulf Coast. Chevron’s Permian data center deal validates the opportunity and return profile XOM is targeting.</w:t>
            </w:r>
          </w:p>
        </w:tc>
      </w:tr>
    </w:tbl>
    <w:p>
      <w:pPr>
        <w:pStyle w:val="Heading2"/>
      </w:pPr>
      <w:r>
        <w:rPr>
          <w:rFonts w:ascii="Calibri" w:hAnsi="Calibri"/>
          <w:b/>
          <w:color w:val="3B4259"/>
          <w:sz w:val="28"/>
        </w:rPr>
        <w:t>Peer Read-Through Summary</w:t>
      </w:r>
    </w:p>
    <w:tbl>
      <w:tblPr>
        <w:tblStyle w:val="TableGrid"/>
        <w:tblW w:type="auto" w:w="0"/>
        <w:tblLook w:firstColumn="1" w:firstRow="1" w:lastColumn="0" w:lastRow="0" w:noHBand="0" w:noVBand="1" w:val="04A0"/>
      </w:tblPr>
      <w:tblGrid>
        <w:gridCol w:w="2160"/>
        <w:gridCol w:w="2160"/>
        <w:gridCol w:w="2160"/>
        <w:gridCol w:w="2160"/>
      </w:tblGrid>
      <w:tr>
        <w:tc>
          <w:tcPr>
            <w:tcW w:type="dxa" w:w="2160"/>
            <w:shd w:val="clear" w:color="auto" w:fill="3B4259"/>
          </w:tcPr>
          <w:p>
            <w:r>
              <w:rPr>
                <w:rFonts w:ascii="Calibri" w:hAnsi="Calibri"/>
                <w:b/>
                <w:color w:val="FFFFFF"/>
                <w:sz w:val="22"/>
              </w:rPr>
              <w:t>Signal</w:t>
            </w:r>
          </w:p>
        </w:tc>
        <w:tc>
          <w:tcPr>
            <w:tcW w:type="dxa" w:w="2160"/>
            <w:shd w:val="clear" w:color="auto" w:fill="3B4259"/>
          </w:tcPr>
          <w:p>
            <w:r>
              <w:rPr>
                <w:rFonts w:ascii="Calibri" w:hAnsi="Calibri"/>
                <w:b/>
                <w:color w:val="FFFFFF"/>
                <w:sz w:val="22"/>
              </w:rPr>
              <w:t>Direction</w:t>
            </w:r>
          </w:p>
        </w:tc>
        <w:tc>
          <w:tcPr>
            <w:tcW w:type="dxa" w:w="2160"/>
            <w:shd w:val="clear" w:color="auto" w:fill="3B4259"/>
          </w:tcPr>
          <w:p>
            <w:r>
              <w:rPr>
                <w:rFonts w:ascii="Calibri" w:hAnsi="Calibri"/>
                <w:b/>
                <w:color w:val="FFFFFF"/>
                <w:sz w:val="22"/>
              </w:rPr>
              <w:t>Primary Source</w:t>
            </w:r>
          </w:p>
        </w:tc>
        <w:tc>
          <w:tcPr>
            <w:tcW w:type="dxa" w:w="2160"/>
            <w:shd w:val="clear" w:color="auto" w:fill="3B4259"/>
          </w:tcPr>
          <w:p>
            <w:r>
              <w:rPr>
                <w:rFonts w:ascii="Calibri" w:hAnsi="Calibri"/>
                <w:b/>
                <w:color w:val="FFFFFF"/>
                <w:sz w:val="22"/>
              </w:rPr>
              <w:t>XOM Segment Impacted</w:t>
            </w:r>
          </w:p>
        </w:tc>
      </w:tr>
      <w:tr>
        <w:tc>
          <w:tcPr>
            <w:tcW w:type="dxa" w:w="2160"/>
          </w:tcPr>
          <w:p>
            <w:r>
              <w:rPr>
                <w:rFonts w:ascii="Calibri" w:hAnsi="Calibri"/>
                <w:sz w:val="22"/>
              </w:rPr>
              <w:t>Brent ~$104/bbl in Q2 (+$23/bbl QoQ)</w:t>
            </w:r>
          </w:p>
        </w:tc>
        <w:tc>
          <w:tcPr>
            <w:tcW w:type="dxa" w:w="2160"/>
          </w:tcPr>
          <w:p>
            <w:r>
              <w:rPr>
                <w:rFonts w:ascii="Calibri" w:hAnsi="Calibri"/>
                <w:b/>
                <w:color w:val="30A46C"/>
                <w:sz w:val="22"/>
              </w:rPr>
              <w:t>POSITIVE</w:t>
            </w:r>
          </w:p>
        </w:tc>
        <w:tc>
          <w:tcPr>
            <w:tcW w:type="dxa" w:w="2160"/>
          </w:tcPr>
          <w:p>
            <w:r>
              <w:rPr>
                <w:rFonts w:ascii="Calibri" w:hAnsi="Calibri"/>
                <w:sz w:val="22"/>
              </w:rPr>
              <w:t>TotalEnergies Q2 2026</w:t>
            </w:r>
          </w:p>
        </w:tc>
        <w:tc>
          <w:tcPr>
            <w:tcW w:type="dxa" w:w="2160"/>
          </w:tcPr>
          <w:p>
            <w:r>
              <w:rPr>
                <w:rFonts w:ascii="Calibri" w:hAnsi="Calibri"/>
                <w:sz w:val="22"/>
              </w:rPr>
              <w:t>Upstream</w:t>
            </w:r>
          </w:p>
        </w:tc>
      </w:tr>
      <w:tr>
        <w:tc>
          <w:tcPr>
            <w:tcW w:type="dxa" w:w="2160"/>
          </w:tcPr>
          <w:p>
            <w:r>
              <w:rPr>
                <w:rFonts w:ascii="Calibri" w:hAnsi="Calibri"/>
                <w:sz w:val="22"/>
              </w:rPr>
              <w:t>Refining margins at historic levels (~$25-35/bbl)</w:t>
            </w:r>
          </w:p>
        </w:tc>
        <w:tc>
          <w:tcPr>
            <w:tcW w:type="dxa" w:w="2160"/>
          </w:tcPr>
          <w:p>
            <w:r>
              <w:rPr>
                <w:rFonts w:ascii="Calibri" w:hAnsi="Calibri"/>
                <w:b/>
                <w:color w:val="30A46C"/>
                <w:sz w:val="22"/>
              </w:rPr>
              <w:t>POSITIVE</w:t>
            </w:r>
          </w:p>
        </w:tc>
        <w:tc>
          <w:tcPr>
            <w:tcW w:type="dxa" w:w="2160"/>
          </w:tcPr>
          <w:p>
            <w:r>
              <w:rPr>
                <w:rFonts w:ascii="Calibri" w:hAnsi="Calibri"/>
                <w:sz w:val="22"/>
              </w:rPr>
              <w:t>Equinor Q2 2026; TotalEnergies Q2 2026; Shell Q2 2026</w:t>
            </w:r>
          </w:p>
        </w:tc>
        <w:tc>
          <w:tcPr>
            <w:tcW w:type="dxa" w:w="2160"/>
          </w:tcPr>
          <w:p>
            <w:r>
              <w:rPr>
                <w:rFonts w:ascii="Calibri" w:hAnsi="Calibri"/>
                <w:sz w:val="22"/>
              </w:rPr>
              <w:t>Energy Products</w:t>
            </w:r>
          </w:p>
        </w:tc>
      </w:tr>
      <w:tr>
        <w:tc>
          <w:tcPr>
            <w:tcW w:type="dxa" w:w="2160"/>
          </w:tcPr>
          <w:p>
            <w:r>
              <w:rPr>
                <w:rFonts w:ascii="Calibri" w:hAnsi="Calibri"/>
                <w:sz w:val="22"/>
              </w:rPr>
              <w:t>Crude trading outperformance (volatility/dislocation)</w:t>
            </w:r>
          </w:p>
        </w:tc>
        <w:tc>
          <w:tcPr>
            <w:tcW w:type="dxa" w:w="2160"/>
          </w:tcPr>
          <w:p>
            <w:r>
              <w:rPr>
                <w:rFonts w:ascii="Calibri" w:hAnsi="Calibri"/>
                <w:b/>
                <w:color w:val="30A46C"/>
                <w:sz w:val="22"/>
              </w:rPr>
              <w:t>POSITIVE</w:t>
            </w:r>
          </w:p>
        </w:tc>
        <w:tc>
          <w:tcPr>
            <w:tcW w:type="dxa" w:w="2160"/>
          </w:tcPr>
          <w:p>
            <w:r>
              <w:rPr>
                <w:rFonts w:ascii="Calibri" w:hAnsi="Calibri"/>
                <w:sz w:val="22"/>
              </w:rPr>
              <w:t>TotalEnergies Q2 2026; Equinor Q2 2026</w:t>
            </w:r>
          </w:p>
        </w:tc>
        <w:tc>
          <w:tcPr>
            <w:tcW w:type="dxa" w:w="2160"/>
          </w:tcPr>
          <w:p>
            <w:r>
              <w:rPr>
                <w:rFonts w:ascii="Calibri" w:hAnsi="Calibri"/>
                <w:sz w:val="22"/>
              </w:rPr>
              <w:t>Corporate &amp; Trading</w:t>
            </w:r>
          </w:p>
        </w:tc>
      </w:tr>
      <w:tr>
        <w:tc>
          <w:tcPr>
            <w:tcW w:type="dxa" w:w="2160"/>
          </w:tcPr>
          <w:p>
            <w:r>
              <w:rPr>
                <w:rFonts w:ascii="Calibri" w:hAnsi="Calibri"/>
                <w:sz w:val="22"/>
              </w:rPr>
              <w:t>Gas trading miss (long gas positions didn’t pay off in Q2)</w:t>
            </w:r>
          </w:p>
        </w:tc>
        <w:tc>
          <w:tcPr>
            <w:tcW w:type="dxa" w:w="2160"/>
          </w:tcPr>
          <w:p>
            <w:r>
              <w:rPr>
                <w:rFonts w:ascii="Calibri" w:hAnsi="Calibri"/>
                <w:b/>
                <w:color w:val="E5484D"/>
                <w:sz w:val="22"/>
              </w:rPr>
              <w:t>NEGATIVE</w:t>
            </w:r>
          </w:p>
        </w:tc>
        <w:tc>
          <w:tcPr>
            <w:tcW w:type="dxa" w:w="2160"/>
          </w:tcPr>
          <w:p>
            <w:r>
              <w:rPr>
                <w:rFonts w:ascii="Calibri" w:hAnsi="Calibri"/>
                <w:sz w:val="22"/>
              </w:rPr>
              <w:t>TotalEnergies Q2 2026</w:t>
            </w:r>
          </w:p>
        </w:tc>
        <w:tc>
          <w:tcPr>
            <w:tcW w:type="dxa" w:w="2160"/>
          </w:tcPr>
          <w:p>
            <w:r>
              <w:rPr>
                <w:rFonts w:ascii="Calibri" w:hAnsi="Calibri"/>
                <w:sz w:val="22"/>
              </w:rPr>
              <w:t>Corporate &amp; Trading</w:t>
            </w:r>
          </w:p>
        </w:tc>
      </w:tr>
      <w:tr>
        <w:tc>
          <w:tcPr>
            <w:tcW w:type="dxa" w:w="2160"/>
          </w:tcPr>
          <w:p>
            <w:r>
              <w:rPr>
                <w:rFonts w:ascii="Calibri" w:hAnsi="Calibri"/>
                <w:sz w:val="22"/>
              </w:rPr>
              <w:t>LNG market tight; European storage deficit; prices elevated</w:t>
            </w:r>
          </w:p>
        </w:tc>
        <w:tc>
          <w:tcPr>
            <w:tcW w:type="dxa" w:w="2160"/>
          </w:tcPr>
          <w:p>
            <w:r>
              <w:rPr>
                <w:rFonts w:ascii="Calibri" w:hAnsi="Calibri"/>
                <w:b/>
                <w:color w:val="30A46C"/>
                <w:sz w:val="22"/>
              </w:rPr>
              <w:t>POSITIVE</w:t>
            </w:r>
          </w:p>
        </w:tc>
        <w:tc>
          <w:tcPr>
            <w:tcW w:type="dxa" w:w="2160"/>
          </w:tcPr>
          <w:p>
            <w:r>
              <w:rPr>
                <w:rFonts w:ascii="Calibri" w:hAnsi="Calibri"/>
                <w:sz w:val="22"/>
              </w:rPr>
              <w:t>Shell Q2 2026; Equinor Q2 2026</w:t>
            </w:r>
          </w:p>
        </w:tc>
        <w:tc>
          <w:tcPr>
            <w:tcW w:type="dxa" w:w="2160"/>
          </w:tcPr>
          <w:p>
            <w:r>
              <w:rPr>
                <w:rFonts w:ascii="Calibri" w:hAnsi="Calibri"/>
                <w:sz w:val="22"/>
              </w:rPr>
              <w:t>Upstream (LNG); Golden Pass</w:t>
            </w:r>
          </w:p>
        </w:tc>
      </w:tr>
      <w:tr>
        <w:tc>
          <w:tcPr>
            <w:tcW w:type="dxa" w:w="2160"/>
          </w:tcPr>
          <w:p>
            <w:r>
              <w:rPr>
                <w:rFonts w:ascii="Calibri" w:hAnsi="Calibri"/>
                <w:sz w:val="22"/>
              </w:rPr>
              <w:t>Chemical margins best in 5+ years (Shell)</w:t>
            </w:r>
          </w:p>
        </w:tc>
        <w:tc>
          <w:tcPr>
            <w:tcW w:type="dxa" w:w="2160"/>
          </w:tcPr>
          <w:p>
            <w:r>
              <w:rPr>
                <w:rFonts w:ascii="Calibri" w:hAnsi="Calibri"/>
                <w:b/>
                <w:color w:val="30A46C"/>
                <w:sz w:val="22"/>
              </w:rPr>
              <w:t>POSITIVE</w:t>
            </w:r>
          </w:p>
        </w:tc>
        <w:tc>
          <w:tcPr>
            <w:tcW w:type="dxa" w:w="2160"/>
          </w:tcPr>
          <w:p>
            <w:r>
              <w:rPr>
                <w:rFonts w:ascii="Calibri" w:hAnsi="Calibri"/>
                <w:sz w:val="22"/>
              </w:rPr>
              <w:t>Shell Q2 2026</w:t>
            </w:r>
          </w:p>
        </w:tc>
        <w:tc>
          <w:tcPr>
            <w:tcW w:type="dxa" w:w="2160"/>
          </w:tcPr>
          <w:p>
            <w:r>
              <w:rPr>
                <w:rFonts w:ascii="Calibri" w:hAnsi="Calibri"/>
                <w:sz w:val="22"/>
              </w:rPr>
              <w:t>Specialty Products / Chemical</w:t>
            </w:r>
          </w:p>
        </w:tc>
      </w:tr>
      <w:tr>
        <w:tc>
          <w:tcPr>
            <w:tcW w:type="dxa" w:w="2160"/>
          </w:tcPr>
          <w:p>
            <w:r>
              <w:rPr>
                <w:rFonts w:ascii="Calibri" w:hAnsi="Calibri"/>
                <w:sz w:val="22"/>
              </w:rPr>
              <w:t>Permian productivity improving in 2026 (EOG)</w:t>
            </w:r>
          </w:p>
        </w:tc>
        <w:tc>
          <w:tcPr>
            <w:tcW w:type="dxa" w:w="2160"/>
          </w:tcPr>
          <w:p>
            <w:r>
              <w:rPr>
                <w:rFonts w:ascii="Calibri" w:hAnsi="Calibri"/>
                <w:b/>
                <w:color w:val="30A46C"/>
                <w:sz w:val="22"/>
              </w:rPr>
              <w:t>POSITIVE</w:t>
            </w:r>
          </w:p>
        </w:tc>
        <w:tc>
          <w:tcPr>
            <w:tcW w:type="dxa" w:w="2160"/>
          </w:tcPr>
          <w:p>
            <w:r>
              <w:rPr>
                <w:rFonts w:ascii="Calibri" w:hAnsi="Calibri"/>
                <w:sz w:val="22"/>
              </w:rPr>
              <w:t>EOG JP Morgan Conference (June 23, 2026)</w:t>
            </w:r>
          </w:p>
        </w:tc>
        <w:tc>
          <w:tcPr>
            <w:tcW w:type="dxa" w:w="2160"/>
          </w:tcPr>
          <w:p>
            <w:r>
              <w:rPr>
                <w:rFonts w:ascii="Calibri" w:hAnsi="Calibri"/>
                <w:sz w:val="22"/>
              </w:rPr>
              <w:t>Upstream (Permian)</w:t>
            </w:r>
          </w:p>
        </w:tc>
      </w:tr>
      <w:tr>
        <w:tc>
          <w:tcPr>
            <w:tcW w:type="dxa" w:w="2160"/>
          </w:tcPr>
          <w:p>
            <w:r>
              <w:rPr>
                <w:rFonts w:ascii="Calibri" w:hAnsi="Calibri"/>
                <w:sz w:val="22"/>
              </w:rPr>
              <w:t>US gas prices lower YoY; Waha hub depressed</w:t>
            </w:r>
          </w:p>
        </w:tc>
        <w:tc>
          <w:tcPr>
            <w:tcW w:type="dxa" w:w="2160"/>
          </w:tcPr>
          <w:p>
            <w:r>
              <w:rPr>
                <w:rFonts w:ascii="Calibri" w:hAnsi="Calibri"/>
                <w:b/>
                <w:color w:val="E5484D"/>
                <w:sz w:val="22"/>
              </w:rPr>
              <w:t>NEGATIVE</w:t>
            </w:r>
          </w:p>
        </w:tc>
        <w:tc>
          <w:tcPr>
            <w:tcW w:type="dxa" w:w="2160"/>
          </w:tcPr>
          <w:p>
            <w:r>
              <w:rPr>
                <w:rFonts w:ascii="Calibri" w:hAnsi="Calibri"/>
                <w:sz w:val="22"/>
              </w:rPr>
              <w:t>Equinor Q2 2026; EOG JP Morgan Conference</w:t>
            </w:r>
          </w:p>
        </w:tc>
        <w:tc>
          <w:tcPr>
            <w:tcW w:type="dxa" w:w="2160"/>
          </w:tcPr>
          <w:p>
            <w:r>
              <w:rPr>
                <w:rFonts w:ascii="Calibri" w:hAnsi="Calibri"/>
                <w:sz w:val="22"/>
              </w:rPr>
              <w:t>Upstream (US gas)</w:t>
            </w:r>
          </w:p>
        </w:tc>
      </w:tr>
      <w:tr>
        <w:tc>
          <w:tcPr>
            <w:tcW w:type="dxa" w:w="2160"/>
          </w:tcPr>
          <w:p>
            <w:r>
              <w:rPr>
                <w:rFonts w:ascii="Calibri" w:hAnsi="Calibri"/>
                <w:sz w:val="22"/>
              </w:rPr>
              <w:t>Q3 chemical spreads beginning to soften (Shell)</w:t>
            </w:r>
          </w:p>
        </w:tc>
        <w:tc>
          <w:tcPr>
            <w:tcW w:type="dxa" w:w="2160"/>
          </w:tcPr>
          <w:p>
            <w:r>
              <w:rPr>
                <w:rFonts w:ascii="Calibri" w:hAnsi="Calibri"/>
                <w:b/>
                <w:color w:val="002FA7"/>
                <w:sz w:val="22"/>
              </w:rPr>
              <w:t>WATCH</w:t>
            </w:r>
          </w:p>
        </w:tc>
        <w:tc>
          <w:tcPr>
            <w:tcW w:type="dxa" w:w="2160"/>
          </w:tcPr>
          <w:p>
            <w:r>
              <w:rPr>
                <w:rFonts w:ascii="Calibri" w:hAnsi="Calibri"/>
                <w:sz w:val="22"/>
              </w:rPr>
              <w:t>Shell Q2 2026</w:t>
            </w:r>
          </w:p>
        </w:tc>
        <w:tc>
          <w:tcPr>
            <w:tcW w:type="dxa" w:w="2160"/>
          </w:tcPr>
          <w:p>
            <w:r>
              <w:rPr>
                <w:rFonts w:ascii="Calibri" w:hAnsi="Calibri"/>
                <w:sz w:val="22"/>
              </w:rPr>
              <w:t>Specialty Products (forward-looking)</w:t>
            </w:r>
          </w:p>
        </w:tc>
      </w:tr>
    </w:tbl>
    <w:p>
      <w:r>
        <w:rPr>
          <w:rFonts w:ascii="Calibri" w:hAnsi="Calibri"/>
          <w:b/>
          <w:color w:val="525866"/>
          <w:sz w:val="22"/>
        </w:rPr>
        <w:t xml:space="preserve">Sources: </w:t>
      </w:r>
      <w:r>
        <w:rPr>
          <w:rFonts w:ascii="Calibri" w:hAnsi="Calibri"/>
          <w:color w:val="525866"/>
          <w:sz w:val="22"/>
        </w:rPr>
        <w:t>TotalEnergies Q2 2026 Earnings Call Transcript (July 23, 2026); Shell Q2 2026 Earnings Call Transcript (July 30, 2026); Equinor Q2 2026 Earnings Call Transcript (July 22, 2026); EOG Resources JP Morgan Natural Resources Conference Transcript (June 23, 2026); Chevron JP Morgan Natural Resources Conference Transcript (June 23, 2026).</w:t>
      </w:r>
    </w:p>
    <w:p>
      <w:r>
        <w:br w:type="page"/>
      </w:r>
    </w:p>
    <w:p>
      <w:pPr>
        <w:pStyle w:val="Heading1"/>
        <w:pBdr>
          <w:bottom w:val="single" w:sz="4" w:space="1" w:color="FB9120"/>
        </w:pBdr>
      </w:pPr>
      <w:r>
        <w:rPr>
          <w:rFonts w:ascii="Calibri" w:hAnsi="Calibri"/>
          <w:b/>
          <w:color w:val="3B4259"/>
          <w:sz w:val="40"/>
        </w:rPr>
        <w:t>8. Insider Transaction Activity</w:t>
      </w:r>
    </w:p>
    <w:p>
      <w:r>
        <w:rPr>
          <w:rFonts w:ascii="Calibri" w:hAnsi="Calibri"/>
          <w:b/>
          <w:color w:val="525866"/>
          <w:sz w:val="22"/>
        </w:rPr>
        <w:t xml:space="preserve">Key Takeaway: </w:t>
      </w:r>
      <w:r>
        <w:rPr>
          <w:rFonts w:ascii="Calibri" w:hAnsi="Calibri"/>
          <w:color w:val="525866"/>
          <w:sz w:val="22"/>
        </w:rPr>
        <w:t xml:space="preserve">Insider transaction activity since the Q1 2026 earnings date (May 1, 2026) is </w:t>
      </w:r>
      <w:r>
        <w:rPr>
          <w:rFonts w:ascii="Calibri" w:hAnsi="Calibri"/>
          <w:b/>
          <w:color w:val="525866"/>
          <w:sz w:val="22"/>
        </w:rPr>
        <w:t>notable for the absence of open-market purchases or discretionary sales by XOM executives or directors</w:t>
      </w:r>
      <w:r>
        <w:rPr>
          <w:rFonts w:ascii="Calibri" w:hAnsi="Calibri"/>
          <w:color w:val="525866"/>
          <w:sz w:val="22"/>
        </w:rPr>
        <w:t>; the only Form 4 filing in the window is a large secondary sale by ProPetro Holding Corp. (a 10% owner / institutional holder), which is not a signal from XOM management and carries no read-through for the earnings outlook.</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shd w:val="clear" w:color="auto" w:fill="3B4259"/>
          </w:tcPr>
          <w:p>
            <w:r>
              <w:rPr>
                <w:rFonts w:ascii="Calibri" w:hAnsi="Calibri"/>
                <w:b/>
                <w:color w:val="FFFFFF"/>
                <w:sz w:val="22"/>
              </w:rPr>
              <w:t>Name</w:t>
            </w:r>
          </w:p>
        </w:tc>
        <w:tc>
          <w:tcPr>
            <w:tcW w:type="dxa" w:w="1440"/>
            <w:shd w:val="clear" w:color="auto" w:fill="3B4259"/>
          </w:tcPr>
          <w:p>
            <w:r>
              <w:rPr>
                <w:rFonts w:ascii="Calibri" w:hAnsi="Calibri"/>
                <w:b/>
                <w:color w:val="FFFFFF"/>
                <w:sz w:val="22"/>
              </w:rPr>
              <w:t>Title</w:t>
            </w:r>
          </w:p>
        </w:tc>
        <w:tc>
          <w:tcPr>
            <w:tcW w:type="dxa" w:w="1440"/>
            <w:shd w:val="clear" w:color="auto" w:fill="3B4259"/>
          </w:tcPr>
          <w:p>
            <w:r>
              <w:rPr>
                <w:rFonts w:ascii="Calibri" w:hAnsi="Calibri"/>
                <w:b/>
                <w:color w:val="FFFFFF"/>
                <w:sz w:val="22"/>
              </w:rPr>
              <w:t>Transaction Type</w:t>
            </w:r>
          </w:p>
        </w:tc>
        <w:tc>
          <w:tcPr>
            <w:tcW w:type="dxa" w:w="1440"/>
            <w:shd w:val="clear" w:color="auto" w:fill="3B4259"/>
          </w:tcPr>
          <w:p>
            <w:r>
              <w:rPr>
                <w:rFonts w:ascii="Calibri" w:hAnsi="Calibri"/>
                <w:b/>
                <w:color w:val="FFFFFF"/>
                <w:sz w:val="22"/>
              </w:rPr>
              <w:t>Shares / Value</w:t>
            </w:r>
          </w:p>
        </w:tc>
        <w:tc>
          <w:tcPr>
            <w:tcW w:type="dxa" w:w="1440"/>
            <w:shd w:val="clear" w:color="auto" w:fill="3B4259"/>
          </w:tcPr>
          <w:p>
            <w:r>
              <w:rPr>
                <w:rFonts w:ascii="Calibri" w:hAnsi="Calibri"/>
                <w:b/>
                <w:color w:val="FFFFFF"/>
                <w:sz w:val="22"/>
              </w:rPr>
              <w:t>Transaction Date</w:t>
            </w:r>
          </w:p>
        </w:tc>
        <w:tc>
          <w:tcPr>
            <w:tcW w:type="dxa" w:w="1440"/>
            <w:shd w:val="clear" w:color="auto" w:fill="3B4259"/>
          </w:tcPr>
          <w:p>
            <w:r>
              <w:rPr>
                <w:rFonts w:ascii="Calibri" w:hAnsi="Calibri"/>
                <w:b/>
                <w:color w:val="FFFFFF"/>
                <w:sz w:val="22"/>
              </w:rPr>
              <w:t>Note</w:t>
            </w:r>
          </w:p>
        </w:tc>
      </w:tr>
      <w:tr>
        <w:tc>
          <w:tcPr>
            <w:tcW w:type="dxa" w:w="1440"/>
          </w:tcPr>
          <w:p>
            <w:r>
              <w:rPr>
                <w:rFonts w:ascii="Calibri" w:hAnsi="Calibri"/>
                <w:sz w:val="22"/>
              </w:rPr>
              <w:t>ProPetro Holding Corp. (Issuer)</w:t>
            </w:r>
          </w:p>
        </w:tc>
        <w:tc>
          <w:tcPr>
            <w:tcW w:type="dxa" w:w="1440"/>
          </w:tcPr>
          <w:p>
            <w:r>
              <w:rPr>
                <w:rFonts w:ascii="Calibri" w:hAnsi="Calibri"/>
                <w:sz w:val="22"/>
              </w:rPr>
              <w:t>10% Owner (Institutional)</w:t>
            </w:r>
          </w:p>
        </w:tc>
        <w:tc>
          <w:tcPr>
            <w:tcW w:type="dxa" w:w="1440"/>
          </w:tcPr>
          <w:p>
            <w:r>
              <w:rPr>
                <w:rFonts w:ascii="Calibri" w:hAnsi="Calibri"/>
                <w:sz w:val="22"/>
              </w:rPr>
              <w:t>Open Market Sale (Indirect)</w:t>
            </w:r>
          </w:p>
        </w:tc>
        <w:tc>
          <w:tcPr>
            <w:tcW w:type="dxa" w:w="1440"/>
          </w:tcPr>
          <w:p>
            <w:r>
              <w:rPr>
                <w:rFonts w:ascii="Calibri" w:hAnsi="Calibri"/>
                <w:sz w:val="22"/>
              </w:rPr>
              <w:t>16,600,000 shares</w:t>
            </w:r>
          </w:p>
        </w:tc>
        <w:tc>
          <w:tcPr>
            <w:tcW w:type="dxa" w:w="1440"/>
          </w:tcPr>
          <w:p>
            <w:r>
              <w:rPr>
                <w:rFonts w:ascii="Calibri" w:hAnsi="Calibri"/>
                <w:sz w:val="22"/>
              </w:rPr>
              <w:t>May 20, 2026</w:t>
            </w:r>
          </w:p>
        </w:tc>
        <w:tc>
          <w:tcPr>
            <w:tcW w:type="dxa" w:w="1440"/>
          </w:tcPr>
          <w:p>
            <w:r>
              <w:rPr>
                <w:rFonts w:ascii="Calibri" w:hAnsi="Calibri"/>
                <w:sz w:val="22"/>
              </w:rPr>
              <w:t>Institutional secondary sale; not a signal from XOM management; no 10b5-1 plan disclosed; indirect ownership structure. Not a read-through for earnings outlook.</w:t>
            </w:r>
          </w:p>
        </w:tc>
      </w:tr>
    </w:tbl>
    <w:p>
      <w:r>
        <w:rPr>
          <w:rFonts w:ascii="Calibri" w:hAnsi="Calibri"/>
          <w:b/>
          <w:color w:val="525866"/>
          <w:sz w:val="22"/>
        </w:rPr>
        <w:t xml:space="preserve">Analysis: </w:t>
      </w:r>
      <w:r>
        <w:rPr>
          <w:rFonts w:ascii="Calibri" w:hAnsi="Calibri"/>
          <w:color w:val="525866"/>
          <w:sz w:val="22"/>
        </w:rPr>
        <w:t>The absence of open-market purchases by XOM executives or directors in the period since Q1 earnings is not unusual for a company of XOM’s size and governance structure — executives at large-cap integrated oil companies rarely make open-market purchases given the scale of their existing equity compensation. The ProPetro sale (16.6 million shares, May 20, 2026) is an institutional secondary sale by a 10% owner and carries no signal about XOM management’s view of the stock. There are no discretionary insider buys or unusual clustered sales that would alter the earnings setup view.</w:t>
      </w:r>
    </w:p>
    <w:p>
      <w:r>
        <w:rPr>
          <w:rFonts w:ascii="Calibri" w:hAnsi="Calibri"/>
          <w:b/>
          <w:color w:val="525866"/>
          <w:sz w:val="22"/>
        </w:rPr>
        <w:t xml:space="preserve">Source: </w:t>
      </w:r>
      <w:r>
        <w:rPr>
          <w:rFonts w:ascii="Calibri" w:hAnsi="Calibri"/>
          <w:color w:val="525866"/>
          <w:sz w:val="22"/>
        </w:rPr>
        <w:t>SEC Form 4 Filings Database (Insider Transaction Data; Form 4 Filing — ProPetro Holding Corp. (Issuer) (XOM) on 2026-05-20: https://www.sec.gov/Archives/edgar/data/34088/000119312526236842/xslF345X06/ownership.xml).</w:t>
      </w:r>
    </w:p>
    <w:p>
      <w:r>
        <w:br w:type="page"/>
      </w:r>
    </w:p>
    <w:p>
      <w:pPr>
        <w:pStyle w:val="Heading1"/>
        <w:pBdr>
          <w:bottom w:val="single" w:sz="4" w:space="1" w:color="FB9120"/>
        </w:pBdr>
      </w:pPr>
      <w:r>
        <w:rPr>
          <w:rFonts w:ascii="Calibri" w:hAnsi="Calibri"/>
          <w:b/>
          <w:color w:val="3B4259"/>
          <w:sz w:val="40"/>
        </w:rPr>
        <w:t>Appendix: Key Data Sources &amp; Citations</w:t>
      </w:r>
    </w:p>
    <w:p>
      <w:pPr>
        <w:pStyle w:val="ListBullet"/>
        <w:ind w:left="360" w:hanging="360"/>
      </w:pPr>
      <w:r>
        <w:rPr>
          <w:rFonts w:ascii="Calibri" w:hAnsi="Calibri"/>
          <w:b/>
          <w:color w:val="525866"/>
          <w:sz w:val="22"/>
        </w:rPr>
        <w:t xml:space="preserve">Visible Alpha Consensus and Actuals — EPS (Diluted Operating): </w:t>
      </w:r>
      <w:r>
        <w:rPr>
          <w:rFonts w:ascii="Calibri" w:hAnsi="Calibri"/>
          <w:color w:val="525866"/>
          <w:sz w:val="22"/>
        </w:rPr>
        <w:t>https://insights.visiblealpha.com/mex/XOM/NMV/IS</w:t>
      </w:r>
    </w:p>
    <w:p>
      <w:pPr>
        <w:pStyle w:val="ListBullet"/>
        <w:ind w:left="360" w:hanging="360"/>
      </w:pPr>
      <w:r>
        <w:rPr>
          <w:rFonts w:ascii="Calibri" w:hAnsi="Calibri"/>
          <w:b/>
          <w:color w:val="525866"/>
          <w:sz w:val="22"/>
        </w:rPr>
        <w:t xml:space="preserve">Visible Alpha Consensus and Actuals — Total Production: </w:t>
      </w:r>
      <w:r>
        <w:rPr>
          <w:rFonts w:ascii="Calibri" w:hAnsi="Calibri"/>
          <w:color w:val="525866"/>
          <w:sz w:val="22"/>
        </w:rPr>
        <w:t>https://insights.visiblealpha.com/mex/XOM/NMV/KV</w:t>
      </w:r>
    </w:p>
    <w:p>
      <w:pPr>
        <w:pStyle w:val="ListBullet"/>
        <w:ind w:left="360" w:hanging="360"/>
      </w:pPr>
      <w:r>
        <w:rPr>
          <w:rFonts w:ascii="Calibri" w:hAnsi="Calibri"/>
          <w:b/>
          <w:color w:val="525866"/>
          <w:sz w:val="22"/>
        </w:rPr>
        <w:t xml:space="preserve">Visible Alpha Consensus and Actuals — Free Cash Flow: </w:t>
      </w:r>
      <w:r>
        <w:rPr>
          <w:rFonts w:ascii="Calibri" w:hAnsi="Calibri"/>
          <w:color w:val="525866"/>
          <w:sz w:val="22"/>
        </w:rPr>
        <w:t>https://insights.visiblealpha.com/mex/XOM/NMV/CF</w:t>
      </w:r>
    </w:p>
    <w:p>
      <w:pPr>
        <w:pStyle w:val="ListBullet"/>
        <w:ind w:left="360" w:hanging="360"/>
      </w:pPr>
      <w:r>
        <w:rPr>
          <w:rFonts w:ascii="Calibri" w:hAnsi="Calibri"/>
          <w:b/>
          <w:color w:val="525866"/>
          <w:sz w:val="22"/>
        </w:rPr>
        <w:t xml:space="preserve">Visible Alpha Consensus and Actuals — Capital &amp; Exploration Expenditures: </w:t>
      </w:r>
      <w:r>
        <w:rPr>
          <w:rFonts w:ascii="Calibri" w:hAnsi="Calibri"/>
          <w:color w:val="525866"/>
          <w:sz w:val="22"/>
        </w:rPr>
        <w:t>https://insights.visiblealpha.com/mex/XOM/NMV/Cpn</w:t>
      </w:r>
    </w:p>
    <w:p>
      <w:pPr>
        <w:pStyle w:val="ListBullet"/>
        <w:ind w:left="360" w:hanging="360"/>
      </w:pPr>
      <w:r>
        <w:rPr>
          <w:rFonts w:ascii="Calibri" w:hAnsi="Calibri"/>
          <w:b/>
          <w:color w:val="525866"/>
          <w:sz w:val="22"/>
        </w:rPr>
        <w:t xml:space="preserve">Stock Price Data (XOM, XLE, SPY): </w:t>
      </w:r>
      <w:r>
        <w:rPr>
          <w:rFonts w:ascii="Calibri" w:hAnsi="Calibri"/>
          <w:color w:val="525866"/>
          <w:sz w:val="22"/>
        </w:rPr>
        <w:t>Yahoo Finance</w:t>
      </w:r>
    </w:p>
    <w:p>
      <w:pPr>
        <w:pStyle w:val="ListBullet"/>
        <w:ind w:left="360" w:hanging="360"/>
      </w:pPr>
      <w:r>
        <w:rPr>
          <w:rFonts w:ascii="Calibri" w:hAnsi="Calibri"/>
          <w:b/>
          <w:color w:val="525866"/>
          <w:sz w:val="22"/>
        </w:rPr>
        <w:t xml:space="preserve">Insider Transaction Data: </w:t>
      </w:r>
      <w:r>
        <w:rPr>
          <w:rFonts w:ascii="Calibri" w:hAnsi="Calibri"/>
          <w:color w:val="525866"/>
          <w:sz w:val="22"/>
        </w:rPr>
        <w:t>SEC Form 4 Filings Database (https://www.sec.gov/)</w:t>
      </w:r>
    </w:p>
    <w:p>
      <w:pPr>
        <w:pStyle w:val="ListBullet"/>
        <w:ind w:left="360" w:hanging="360"/>
      </w:pPr>
      <w:r>
        <w:rPr>
          <w:rFonts w:ascii="Calibri" w:hAnsi="Calibri"/>
          <w:b/>
          <w:color w:val="525866"/>
          <w:sz w:val="22"/>
        </w:rPr>
        <w:t xml:space="preserve">XOM Q1 2026 Earnings Call Transcript: </w:t>
      </w:r>
      <w:r>
        <w:rPr>
          <w:rFonts w:ascii="Calibri" w:hAnsi="Calibri"/>
          <w:color w:val="525866"/>
          <w:sz w:val="22"/>
        </w:rPr>
        <w:t>May 1, 2026 (documents/XOM/transcript/earnings/2026Q1/)</w:t>
      </w:r>
    </w:p>
    <w:p>
      <w:pPr>
        <w:pStyle w:val="ListBullet"/>
        <w:ind w:left="360" w:hanging="360"/>
      </w:pPr>
      <w:r>
        <w:rPr>
          <w:rFonts w:ascii="Calibri" w:hAnsi="Calibri"/>
          <w:b/>
          <w:color w:val="525866"/>
          <w:sz w:val="22"/>
        </w:rPr>
        <w:t xml:space="preserve">XOM 8-K (Redomiciliation): </w:t>
      </w:r>
      <w:r>
        <w:rPr>
          <w:rFonts w:ascii="Calibri" w:hAnsi="Calibri"/>
          <w:color w:val="525866"/>
          <w:sz w:val="22"/>
        </w:rPr>
        <w:t>July 1, 2026 (documents/XOM/8K/000119312526291986/)</w:t>
      </w:r>
    </w:p>
    <w:p>
      <w:pPr>
        <w:pStyle w:val="ListBullet"/>
        <w:ind w:left="360" w:hanging="360"/>
      </w:pPr>
      <w:r>
        <w:rPr>
          <w:rFonts w:ascii="Calibri" w:hAnsi="Calibri"/>
          <w:b/>
          <w:color w:val="525866"/>
          <w:sz w:val="22"/>
        </w:rPr>
        <w:t xml:space="preserve">TotalEnergies Q2 2026 Earnings Call: </w:t>
      </w:r>
      <w:r>
        <w:rPr>
          <w:rFonts w:ascii="Calibri" w:hAnsi="Calibri"/>
          <w:color w:val="525866"/>
          <w:sz w:val="22"/>
        </w:rPr>
        <w:t>July 23, 2026 (documents/TTE/transcript/earnings/2026Q2/)</w:t>
      </w:r>
    </w:p>
    <w:p>
      <w:pPr>
        <w:pStyle w:val="ListBullet"/>
        <w:ind w:left="360" w:hanging="360"/>
      </w:pPr>
      <w:r>
        <w:rPr>
          <w:rFonts w:ascii="Calibri" w:hAnsi="Calibri"/>
          <w:b/>
          <w:color w:val="525866"/>
          <w:sz w:val="22"/>
        </w:rPr>
        <w:t xml:space="preserve">Shell Q2 2026 Earnings Call: </w:t>
      </w:r>
      <w:r>
        <w:rPr>
          <w:rFonts w:ascii="Calibri" w:hAnsi="Calibri"/>
          <w:color w:val="525866"/>
          <w:sz w:val="22"/>
        </w:rPr>
        <w:t>July 30, 2026 (documents/SHEL/transcript/earnings/2026Q2/)</w:t>
      </w:r>
    </w:p>
    <w:p>
      <w:pPr>
        <w:pStyle w:val="ListBullet"/>
        <w:ind w:left="360" w:hanging="360"/>
      </w:pPr>
      <w:r>
        <w:rPr>
          <w:rFonts w:ascii="Calibri" w:hAnsi="Calibri"/>
          <w:b/>
          <w:color w:val="525866"/>
          <w:sz w:val="22"/>
        </w:rPr>
        <w:t xml:space="preserve">Equinor Q2 2026 Earnings Call: </w:t>
      </w:r>
      <w:r>
        <w:rPr>
          <w:rFonts w:ascii="Calibri" w:hAnsi="Calibri"/>
          <w:color w:val="525866"/>
          <w:sz w:val="22"/>
        </w:rPr>
        <w:t>July 22, 2026 (documents/EQNR/transcript/earnings/2026Q2/)</w:t>
      </w:r>
    </w:p>
    <w:p>
      <w:pPr>
        <w:pStyle w:val="ListBullet"/>
        <w:ind w:left="360" w:hanging="360"/>
      </w:pPr>
      <w:r>
        <w:rPr>
          <w:rFonts w:ascii="Calibri" w:hAnsi="Calibri"/>
          <w:b/>
          <w:color w:val="525866"/>
          <w:sz w:val="22"/>
        </w:rPr>
        <w:t xml:space="preserve">EOG Resources JP Morgan Conference: </w:t>
      </w:r>
      <w:r>
        <w:rPr>
          <w:rFonts w:ascii="Calibri" w:hAnsi="Calibri"/>
          <w:color w:val="525866"/>
          <w:sz w:val="22"/>
        </w:rPr>
        <w:t>June 23, 2026 (documents/EOG/transcript/non-earnings/JP Morgan Natural Resources Conference/)</w:t>
      </w:r>
    </w:p>
    <w:p>
      <w:pPr>
        <w:pStyle w:val="ListBullet"/>
        <w:ind w:left="360" w:hanging="360"/>
      </w:pPr>
      <w:r>
        <w:rPr>
          <w:rFonts w:ascii="Calibri" w:hAnsi="Calibri"/>
          <w:b/>
          <w:color w:val="525866"/>
          <w:sz w:val="22"/>
        </w:rPr>
        <w:t xml:space="preserve">Chevron JP Morgan Conference: </w:t>
      </w:r>
      <w:r>
        <w:rPr>
          <w:rFonts w:ascii="Calibri" w:hAnsi="Calibri"/>
          <w:color w:val="525866"/>
          <w:sz w:val="22"/>
        </w:rPr>
        <w:t>June 23, 2026 (documents/CVX/transcript/non-earnings/JP Morgan Natural Resources Conference/)</w:t>
      </w:r>
    </w:p>
    <w:sectPr w:rsidR="00FC693F" w:rsidRPr="0006063C" w:rsidSect="00034616">
      <w:headerReference w:type="default" r:id="rId9"/>
      <w:foot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rPr>
        <w:rFonts w:ascii="Calibri" w:hAnsi="Calibri"/>
        <w:i/>
        <w:color w:val="525866"/>
        <w:sz w:val="20"/>
      </w:rPr>
      <w:t>We do the work, you make the call</w:t>
    </w:r>
    <w:r>
      <w:tab/>
    </w:r>
    <w:r>
      <w:rPr>
        <w:rFonts w:ascii="Calibri" w:hAnsi="Calibri"/>
        <w:i/>
        <w:color w:val="FB9120"/>
        <w:sz w:val="20"/>
      </w:rPr>
      <w:t>app.implied.com/trial</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8640" w:val="right"/>
      </w:tabs>
      <w:spacing w:before="0" w:after="0" w:line="240" w:lineRule="auto"/>
      <w:jc w:val="left"/>
    </w:pPr>
    <w:r>
      <w:drawing>
        <wp:inline xmlns:a="http://schemas.openxmlformats.org/drawingml/2006/main" xmlns:pic="http://schemas.openxmlformats.org/drawingml/2006/picture">
          <wp:extent cx="5486400" cy="274320"/>
          <wp:docPr id="1" name="Picture 1"/>
          <wp:cNvGraphicFramePr>
            <a:graphicFrameLocks noChangeAspect="1"/>
          </wp:cNvGraphicFramePr>
          <a:graphic>
            <a:graphicData uri="http://schemas.openxmlformats.org/drawingml/2006/picture">
              <pic:pic>
                <pic:nvPicPr>
                  <pic:cNvPr id="0" name="ImpliedPromotionalHeader.png"/>
                  <pic:cNvPicPr/>
                </pic:nvPicPr>
                <pic:blipFill>
                  <a:blip r:embed="rId1"/>
                  <a:stretch>
                    <a:fillRect/>
                  </a:stretch>
                </pic:blipFill>
                <pic:spPr>
                  <a:xfrm>
                    <a:off x="0" y="0"/>
                    <a:ext cx="5486400" cy="274320"/>
                  </a:xfrm>
                  <a:prstGeom prst="rect"/>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libri" w:hAnsi="Calibri"/>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