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9" w:name="xyl-earnings-predictions--2026-07-28"/>
    <w:p>
      <w:pPr>
        <w:pStyle w:val="Heading1"/>
      </w:pPr>
      <w:r>
        <w:t xml:space="preserve">XYL Earnings Predictions — 2026-07-28</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Ticker</w:t>
            </w:r>
          </w:p>
        </w:tc>
        <w:tc>
          <w:tcPr/>
          <w:p>
            <w:pPr>
              <w:pStyle w:val="Compact"/>
            </w:pPr>
            <w:r>
              <w:t xml:space="preserve">Report or Guide</w:t>
            </w:r>
          </w:p>
        </w:tc>
        <w:tc>
          <w:tcPr/>
          <w:p>
            <w:pPr>
              <w:pStyle w:val="Compact"/>
            </w:pPr>
            <w:r>
              <w:t xml:space="preserve">KPI</w:t>
            </w:r>
          </w:p>
        </w:tc>
        <w:tc>
          <w:tcPr/>
          <w:p>
            <w:pPr>
              <w:pStyle w:val="Compact"/>
            </w:pPr>
            <w:r>
              <w:t xml:space="preserve">Prediction</w:t>
            </w:r>
          </w:p>
        </w:tc>
        <w:tc>
          <w:tcPr/>
          <w:p>
            <w:pPr>
              <w:pStyle w:val="Compact"/>
            </w:pPr>
            <w:r>
              <w:t xml:space="preserve">Answer</w:t>
            </w:r>
          </w:p>
        </w:tc>
        <w:tc>
          <w:tcPr/>
          <w:p>
            <w:pPr>
              <w:pStyle w:val="Compact"/>
            </w:pPr>
            <w:r>
              <w:t xml:space="preserve">Confidence</w:t>
            </w:r>
          </w:p>
        </w:tc>
      </w:tr>
      <w:tr>
        <w:tc>
          <w:tcPr/>
          <w:p>
            <w:pPr>
              <w:pStyle w:val="Compact"/>
            </w:pPr>
            <w:r>
              <w:t xml:space="preserve">XYL</w:t>
            </w:r>
          </w:p>
        </w:tc>
        <w:tc>
          <w:tcPr/>
          <w:p>
            <w:pPr>
              <w:pStyle w:val="Compact"/>
            </w:pPr>
            <w:r>
              <w:t xml:space="preserve">Report</w:t>
            </w:r>
          </w:p>
        </w:tc>
        <w:tc>
          <w:tcPr/>
          <w:p>
            <w:pPr>
              <w:pStyle w:val="Compact"/>
            </w:pPr>
            <w:r>
              <w:t xml:space="preserve">Q2 Adjusted EPS</w:t>
            </w:r>
          </w:p>
        </w:tc>
        <w:tc>
          <w:tcPr/>
          <w:p>
            <w:pPr>
              <w:pStyle w:val="Compact"/>
            </w:pPr>
            <w:r>
              <w:t xml:space="preserve">BEAT</w:t>
            </w:r>
          </w:p>
        </w:tc>
        <w:tc>
          <w:tcPr/>
          <w:p>
            <w:pPr>
              <w:pStyle w:val="Compact"/>
            </w:pPr>
            <w:r>
              <w:t xml:space="preserve">pred ~$1.39 vs. cons $1.35</w:t>
            </w:r>
          </w:p>
        </w:tc>
        <w:tc>
          <w:tcPr/>
          <w:p>
            <w:pPr>
              <w:pStyle w:val="Compact"/>
            </w:pPr>
            <w:r>
              <w:t xml:space="preserve">MEDIUM</w:t>
            </w:r>
          </w:p>
        </w:tc>
      </w:tr>
      <w:tr>
        <w:tc>
          <w:tcPr/>
          <w:p>
            <w:pPr>
              <w:pStyle w:val="Compact"/>
            </w:pPr>
            <w:r>
              <w:t xml:space="preserve">XYL</w:t>
            </w:r>
          </w:p>
        </w:tc>
        <w:tc>
          <w:tcPr/>
          <w:p>
            <w:pPr>
              <w:pStyle w:val="Compact"/>
            </w:pPr>
            <w:r>
              <w:t xml:space="preserve">Report</w:t>
            </w:r>
          </w:p>
        </w:tc>
        <w:tc>
          <w:tcPr/>
          <w:p>
            <w:pPr>
              <w:pStyle w:val="Compact"/>
            </w:pPr>
            <w:r>
              <w:t xml:space="preserve">Q2 Revenue</w:t>
            </w:r>
          </w:p>
        </w:tc>
        <w:tc>
          <w:tcPr/>
          <w:p>
            <w:pPr>
              <w:pStyle w:val="Compact"/>
            </w:pPr>
            <w:r>
              <w:t xml:space="preserve">IN-LINE</w:t>
            </w:r>
          </w:p>
        </w:tc>
        <w:tc>
          <w:tcPr/>
          <w:p>
            <w:pPr>
              <w:pStyle w:val="Compact"/>
            </w:pPr>
            <w:r>
              <w:t xml:space="preserve">pred ~$2.38B vs. cons $2.36B</w:t>
            </w:r>
          </w:p>
        </w:tc>
        <w:tc>
          <w:tcPr/>
          <w:p>
            <w:pPr>
              <w:pStyle w:val="Compact"/>
            </w:pPr>
            <w:r>
              <w:t xml:space="preserve">MEDIUM</w:t>
            </w:r>
          </w:p>
        </w:tc>
      </w:tr>
      <w:tr>
        <w:tc>
          <w:tcPr/>
          <w:p>
            <w:pPr>
              <w:pStyle w:val="Compact"/>
            </w:pPr>
            <w:r>
              <w:t xml:space="preserve">XYL</w:t>
            </w:r>
          </w:p>
        </w:tc>
        <w:tc>
          <w:tcPr/>
          <w:p>
            <w:pPr>
              <w:pStyle w:val="Compact"/>
            </w:pPr>
            <w:r>
              <w:t xml:space="preserve">Report</w:t>
            </w:r>
          </w:p>
        </w:tc>
        <w:tc>
          <w:tcPr/>
          <w:p>
            <w:pPr>
              <w:pStyle w:val="Compact"/>
            </w:pPr>
            <w:r>
              <w:t xml:space="preserve">Q2 Adjusted EBITDA Margin</w:t>
            </w:r>
          </w:p>
        </w:tc>
        <w:tc>
          <w:tcPr/>
          <w:p>
            <w:pPr>
              <w:pStyle w:val="Compact"/>
            </w:pPr>
            <w:r>
              <w:t xml:space="preserve">IN-LINE</w:t>
            </w:r>
          </w:p>
        </w:tc>
        <w:tc>
          <w:tcPr/>
          <w:p>
            <w:pPr>
              <w:pStyle w:val="Compact"/>
            </w:pPr>
            <w:r>
              <w:t xml:space="preserve">pred ~22.5% vs. cons 22.3%</w:t>
            </w:r>
          </w:p>
        </w:tc>
        <w:tc>
          <w:tcPr/>
          <w:p>
            <w:pPr>
              <w:pStyle w:val="Compact"/>
            </w:pPr>
            <w:r>
              <w:t xml:space="preserve">MEDIUM</w:t>
            </w:r>
          </w:p>
        </w:tc>
      </w:tr>
      <w:tr>
        <w:tc>
          <w:tcPr/>
          <w:p>
            <w:pPr>
              <w:pStyle w:val="Compact"/>
            </w:pPr>
            <w:r>
              <w:t xml:space="preserve">XYL</w:t>
            </w:r>
          </w:p>
        </w:tc>
        <w:tc>
          <w:tcPr/>
          <w:p>
            <w:pPr>
              <w:pStyle w:val="Compact"/>
            </w:pPr>
            <w:r>
              <w:t xml:space="preserve">Guide</w:t>
            </w:r>
          </w:p>
        </w:tc>
        <w:tc>
          <w:tcPr/>
          <w:p>
            <w:pPr>
              <w:pStyle w:val="Compact"/>
            </w:pPr>
            <w:r>
              <w:t xml:space="preserve">FY2026 Adjusted EPS guide</w:t>
            </w:r>
          </w:p>
        </w:tc>
        <w:tc>
          <w:tcPr/>
          <w:p>
            <w:pPr>
              <w:pStyle w:val="Compact"/>
            </w:pPr>
            <w:r>
              <w:t xml:space="preserve">UNCHANGED</w:t>
            </w:r>
          </w:p>
        </w:tc>
        <w:tc>
          <w:tcPr/>
          <w:p>
            <w:pPr>
              <w:pStyle w:val="Compact"/>
            </w:pPr>
            <w:r>
              <w:t xml:space="preserve">guide reaffirmed ~</w:t>
            </w:r>
            <m:oMath>
              <m:r>
                <m:t>5.35</m:t>
              </m:r>
              <m:r>
                <m:rPr>
                  <m:sty m:val="p"/>
                </m:rPr>
                <m:t>–</m:t>
              </m:r>
            </m:oMath>
            <w:r>
              <w:t xml:space="preserve">5.60 (mid $5.48) vs. cons $5.50 (FY2026)</w:t>
            </w:r>
          </w:p>
        </w:tc>
        <w:tc>
          <w:tcPr/>
          <w:p>
            <w:pPr>
              <w:pStyle w:val="Compact"/>
            </w:pPr>
            <w:r>
              <w:t xml:space="preserve">MEDIUM</w:t>
            </w:r>
          </w:p>
        </w:tc>
      </w:tr>
      <w:tr>
        <w:tc>
          <w:tcPr/>
          <w:p>
            <w:pPr>
              <w:pStyle w:val="Compact"/>
            </w:pPr>
            <w:r>
              <w:t xml:space="preserve">XYL</w:t>
            </w:r>
          </w:p>
        </w:tc>
        <w:tc>
          <w:tcPr/>
          <w:p>
            <w:pPr>
              <w:pStyle w:val="Compact"/>
            </w:pPr>
            <w:r>
              <w:t xml:space="preserve">Guide</w:t>
            </w:r>
          </w:p>
        </w:tc>
        <w:tc>
          <w:tcPr/>
          <w:p>
            <w:pPr>
              <w:pStyle w:val="Compact"/>
            </w:pPr>
            <w:r>
              <w:t xml:space="preserve">FY2026 Organic Revenue / EBITDA margin guide</w:t>
            </w:r>
          </w:p>
        </w:tc>
        <w:tc>
          <w:tcPr/>
          <w:p>
            <w:pPr>
              <w:pStyle w:val="Compact"/>
            </w:pPr>
            <w:r>
              <w:t xml:space="preserve">UNCHANGED</w:t>
            </w:r>
          </w:p>
        </w:tc>
        <w:tc>
          <w:tcPr/>
          <w:p>
            <w:pPr>
              <w:pStyle w:val="Compact"/>
            </w:pPr>
            <w:r>
              <w:t xml:space="preserve">guide +2–4% organic (~3%) vs. cons ~3%; margin 22.9–23.3% vs cons ~23.1% (FY2026)</w:t>
            </w:r>
          </w:p>
        </w:tc>
        <w:tc>
          <w:tcPr/>
          <w:p>
            <w:pPr>
              <w:pStyle w:val="Compact"/>
            </w:pPr>
            <w:r>
              <w:t xml:space="preserve">MEDIUM</w:t>
            </w:r>
          </w:p>
        </w:tc>
      </w:tr>
      <w:tr>
        <w:tc>
          <w:tcPr/>
          <w:p>
            <w:pPr>
              <w:pStyle w:val="Compact"/>
            </w:pPr>
            <w:r>
              <w:t xml:space="preserve">XYL</w:t>
            </w:r>
          </w:p>
        </w:tc>
        <w:tc>
          <w:tcPr/>
          <w:p>
            <w:pPr>
              <w:pStyle w:val="Compact"/>
            </w:pPr>
            <w:r>
              <w:t xml:space="preserve">Guide</w:t>
            </w:r>
          </w:p>
        </w:tc>
        <w:tc>
          <w:tcPr/>
          <w:p>
            <w:pPr>
              <w:pStyle w:val="Compact"/>
            </w:pPr>
            <w:r>
              <w:t xml:space="preserve">H2 ramp — orders/backlog &amp; MCS margin inflection (Q3 implied)</w:t>
            </w:r>
          </w:p>
        </w:tc>
        <w:tc>
          <w:tcPr/>
          <w:p>
            <w:pPr>
              <w:pStyle w:val="Compact"/>
            </w:pPr>
            <w:r>
              <w:t xml:space="preserve">UNKNOWN</w:t>
            </w:r>
          </w:p>
        </w:tc>
        <w:tc>
          <w:tcPr/>
          <w:p>
            <w:pPr>
              <w:pStyle w:val="Compact"/>
            </w:pPr>
            <w:r>
              <w:t xml:space="preserve">Q3 implied organic ~5% / EPS ~</w:t>
            </w:r>
            <m:oMath>
              <m:r>
                <m:t>1.42</m:t>
              </m:r>
              <m:r>
                <m:t>v</m:t>
              </m:r>
              <m:r>
                <m:t>s</m:t>
              </m:r>
              <m:r>
                <m:rPr>
                  <m:sty m:val="p"/>
                </m:rPr>
                <m:t>.</m:t>
              </m:r>
              <m:r>
                <m:t>c</m:t>
              </m:r>
              <m:r>
                <m:t>o</m:t>
              </m:r>
              <m:r>
                <m:t>n</m:t>
              </m:r>
              <m:r>
                <m:t>s</m:t>
              </m:r>
              <m:r>
                <m:t> </m:t>
              </m:r>
            </m:oMath>
            <w:r>
              <w:t xml:space="preserve">1.40 (Q3 2026); hinges on 'couple more' MCS orders</w:t>
            </w:r>
          </w:p>
        </w:tc>
        <w:tc>
          <w:tcPr/>
          <w:p>
            <w:pPr>
              <w:pStyle w:val="Compact"/>
            </w:pPr>
            <w:r>
              <w:t xml:space="preserve">LOW</w:t>
            </w:r>
          </w:p>
        </w:tc>
      </w:tr>
      <w:tr>
        <w:tc>
          <w:tcPr/>
          <w:p>
            <w:pPr>
              <w:pStyle w:val="Compact"/>
            </w:pPr>
            <w:r>
              <w:t xml:space="preserve">XYL</w:t>
            </w:r>
          </w:p>
        </w:tc>
        <w:tc>
          <w:tcPr/>
          <w:p>
            <w:pPr>
              <w:pStyle w:val="Compact"/>
            </w:pPr>
            <w:r>
              <w:t xml:space="preserve">Return</w:t>
            </w:r>
          </w:p>
        </w:tc>
        <w:tc>
          <w:tcPr/>
          <w:p>
            <w:pPr>
              <w:pStyle w:val="Compact"/>
            </w:pPr>
            <w:r>
              <w:t xml:space="preserve">Day-1 residual (stock − beta × S&amp;P 500)</w:t>
            </w:r>
          </w:p>
        </w:tc>
        <w:tc>
          <w:tcPr/>
          <w:p>
            <w:pPr>
              <w:pStyle w:val="Compact"/>
            </w:pPr>
            <w:r>
              <w:t xml:space="preserve">-1.5%</w:t>
            </w:r>
          </w:p>
        </w:tc>
        <w:tc>
          <w:tcPr/>
          <w:p>
            <w:pPr>
              <w:pStyle w:val="Compact"/>
            </w:pPr>
            <w:r>
              <w:t xml:space="preserve">—</w:t>
            </w:r>
          </w:p>
        </w:tc>
        <w:tc>
          <w:tcPr/>
          <w:p>
            <w:pPr>
              <w:pStyle w:val="Compact"/>
            </w:pPr>
            <w:r>
              <w:t xml:space="preserve">LOW</w:t>
            </w:r>
          </w:p>
        </w:tc>
      </w:tr>
      <w:tr>
        <w:tc>
          <w:tcPr/>
          <w:p>
            <w:pPr>
              <w:pStyle w:val="Compact"/>
            </w:pPr>
            <w:r>
              <w:t xml:space="preserve">XYL</w:t>
            </w:r>
          </w:p>
        </w:tc>
        <w:tc>
          <w:tcPr/>
          <w:p>
            <w:pPr>
              <w:pStyle w:val="Compact"/>
            </w:pPr>
            <w:r>
              <w:t xml:space="preserve">Return</w:t>
            </w:r>
          </w:p>
        </w:tc>
        <w:tc>
          <w:tcPr/>
          <w:p>
            <w:pPr>
              <w:pStyle w:val="Compact"/>
            </w:pPr>
            <w:r>
              <w:t xml:space="preserve">5-day cumulative residual</w:t>
            </w:r>
          </w:p>
        </w:tc>
        <w:tc>
          <w:tcPr/>
          <w:p>
            <w:pPr>
              <w:pStyle w:val="Compact"/>
            </w:pPr>
            <w:r>
              <w:t xml:space="preserve">-2.5% (FADE)</w:t>
            </w:r>
          </w:p>
        </w:tc>
        <w:tc>
          <w:tcPr/>
          <w:p>
            <w:pPr>
              <w:pStyle w:val="Compact"/>
            </w:pPr>
            <w:r>
              <w:t xml:space="preserve">Q2 is the guided trough (~1% organic); a modest EPS beat on a reaffirmed FY guide fails to prove the H2 hockey-stick the market is demanding. Stock rallied ~13% off May lows into the print, and XYL sold off on each of the last two reports. Absent explicit confirmation of the 'couple more' MCS orders and MCS margin inflection, out-period math stays H2-dependent, so estimates drift down and the initial reaction fades further over the week.</w:t>
            </w:r>
          </w:p>
        </w:tc>
        <w:tc>
          <w:tcPr/>
          <w:p>
            <w:pPr>
              <w:pStyle w:val="Compact"/>
            </w:pPr>
            <w:r>
              <w:t xml:space="preserve">LOW</w:t>
            </w:r>
          </w:p>
        </w:tc>
      </w:tr>
    </w:tbl>
    <w:bookmarkEnd w:id="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2026-07-28T00:35:44Z</dcterms:created>
  <dcterms:modified xsi:type="dcterms:W3CDTF">2026-07-28T00:35:44Z</dcterms:modified>
</cp:coreProperties>
</file>

<file path=docProps/custom.xml><?xml version="1.0" encoding="utf-8"?>
<Properties xmlns="http://schemas.openxmlformats.org/officeDocument/2006/custom-properties" xmlns:vt="http://schemas.openxmlformats.org/officeDocument/2006/docPropsVTypes"/>
</file>