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FirstParagraph"/>
      </w:pPr>
      <w:r>
        <w:t xml:space="preserve">I'll research XYL (Xylem Inc.) before writing the preview. Let me gather recent earnings materials, filings, and news.The most recent report is 2026Q1 (reported 2026-04-28). Let me read the latest earnings release and call, plus check news.I have strong detail on Q1 and guidance. Let me now check recent news, stock price action, and any analyst commentary heading into the print.Let me pull recent news digests for context on the setup into the print.Let me grab the Q2 2025 actuals to frame the year-over-year comparison for tomorrow's print.I now have what I need. Here's the earnings preview.</w:t>
      </w:r>
    </w:p>
    <w:p>
      <w:r>
        <w:pict>
          <v:rect style="width:0;height:1.5pt" o:hralign="center" o:hrstd="t" o:hr="t"/>
        </w:pict>
      </w:r>
    </w:p>
    <w:bookmarkStart w:id="17" w:name="xylem-xyl--q2-2026-earnings-preview"/>
    <w:p>
      <w:pPr>
        <w:pStyle w:val="Heading1"/>
      </w:pPr>
      <w:r>
        <w:t xml:space="preserve">Xylem (XYL) — Q2 2026 Earnings Preview</w:t>
      </w:r>
    </w:p>
    <w:bookmarkStart w:id="9" w:name="X568a7790e9cc3cd7cddc21648a78988ee48ef04"/>
    <w:p>
      <w:pPr>
        <w:pStyle w:val="Heading3"/>
      </w:pPr>
      <w:r>
        <w:t xml:space="preserve">Reports before market open, Tuesday, July 28, 2026 | 2026Q2 Earnings Call</w:t>
      </w:r>
    </w:p>
    <w:bookmarkEnd w:id="9"/>
    <w:bookmarkStart w:id="10" w:name="the-setup-in-one-line"/>
    <w:p>
      <w:pPr>
        <w:pStyle w:val="Heading2"/>
      </w:pPr>
      <w:r>
        <w:t xml:space="preserve">The setup in one line</w:t>
      </w:r>
    </w:p>
    <w:p>
      <w:pPr>
        <w:pStyle w:val="FirstParagraph"/>
      </w:pPr>
      <w:r>
        <w:t xml:space="preserve">Xylem heads into Q2 as a "prove the back-half ramp" story. Management's full-year algorithm depends on a meaningful acceleration in the second half, so Q2 is less about the print itself (which is largely guided) and more about the leading indicators — orders, backlog conversion, and MCS margin recovery — that de-risk the H2 hockey stick.</w:t>
      </w:r>
    </w:p>
    <w:bookmarkEnd w:id="10"/>
    <w:bookmarkStart w:id="11" w:name="what-the-company-has-guided-for-q2"/>
    <w:p>
      <w:pPr>
        <w:pStyle w:val="Heading2"/>
      </w:pPr>
      <w:r>
        <w:t xml:space="preserve">What the company has guided for Q2</w:t>
      </w:r>
    </w:p>
    <w:p>
      <w:pPr>
        <w:pStyle w:val="FirstParagraph"/>
      </w:pPr>
      <w:r>
        <w:t xml:space="preserve">On the Q1 call (April 28), CFO Bill Grogan gave unusually specific Q2 guardrails:</w:t>
      </w:r>
    </w:p>
    <w:p>
      <w:pPr>
        <w:pStyle w:val="Compact"/>
        <w:numPr>
          <w:ilvl w:val="0"/>
          <w:numId w:val="1001"/>
        </w:numPr>
      </w:pPr>
      <w:r>
        <w:rPr>
          <w:b/>
          <w:bCs/>
        </w:rPr>
        <w:t xml:space="preserve">Revenue:</w:t>
      </w:r>
      <w:r>
        <w:t xml:space="preserve"> </w:t>
      </w:r>
      <w:r>
        <w:t xml:space="preserve">+2–3% reported,</w:t>
      </w:r>
      <w:r>
        <w:t xml:space="preserve"> </w:t>
      </w:r>
      <w:r>
        <w:rPr>
          <w:b/>
          <w:bCs/>
        </w:rPr>
        <w:t xml:space="preserve">~1% organic</w:t>
      </w:r>
      <w:r>
        <w:t xml:space="preserve"> </w:t>
      </w:r>
      <w:r>
        <w:t xml:space="preserve">(the low point of the year — deliberately so)</w:t>
      </w:r>
    </w:p>
    <w:p>
      <w:pPr>
        <w:pStyle w:val="Compact"/>
        <w:numPr>
          <w:ilvl w:val="0"/>
          <w:numId w:val="1001"/>
        </w:numPr>
      </w:pPr>
      <w:r>
        <w:rPr>
          <w:b/>
          <w:bCs/>
        </w:rPr>
        <w:t xml:space="preserve">Adjusted EBITDA margin:</w:t>
      </w:r>
      <w:r>
        <w:t xml:space="preserve"> </w:t>
      </w:r>
      <w:r>
        <w:rPr>
          <w:b/>
          <w:bCs/>
        </w:rPr>
        <w:t xml:space="preserve">22.0–22.5%</w:t>
      </w:r>
      <w:r>
        <w:t xml:space="preserve"> </w:t>
      </w:r>
      <w:r>
        <w:t xml:space="preserve">(up 20–70 bps YoY)</w:t>
      </w:r>
    </w:p>
    <w:p>
      <w:pPr>
        <w:pStyle w:val="Compact"/>
        <w:numPr>
          <w:ilvl w:val="0"/>
          <w:numId w:val="1001"/>
        </w:numPr>
      </w:pPr>
      <w:r>
        <w:rPr>
          <w:b/>
          <w:bCs/>
        </w:rPr>
        <w:t xml:space="preserve">Adjusted EPS:</w:t>
      </w:r>
      <w:r>
        <w:t xml:space="preserve"> </w:t>
      </w:r>
      <m:oMath>
        <m:r>
          <m:t>1.31</m:t>
        </m:r>
        <m:r>
          <m:rPr>
            <m:sty m:val="p"/>
          </m:rPr>
          <m:t>–</m:t>
        </m:r>
      </m:oMath>
      <w:r>
        <w:rPr>
          <w:b/>
          <w:bCs/>
        </w:rPr>
        <w:t xml:space="preserve">1.36</w:t>
      </w:r>
    </w:p>
    <w:p>
      <w:pPr>
        <w:pStyle w:val="FirstParagraph"/>
      </w:pPr>
      <w:r>
        <w:rPr>
          <w:b/>
          <w:bCs/>
        </w:rPr>
        <w:t xml:space="preserve">Year-ago comparison (Q2 2025):</w:t>
      </w:r>
      <w:r>
        <w:t xml:space="preserve"> </w:t>
      </w:r>
      <w:r>
        <w:t xml:space="preserve">revenue $2.30B (+6% organic), adjusted EPS $1.26, adjusted EBITDA margin 21.8%, reported EPS $0.93. So the guide implies only ~4–8% adjusted EPS growth and a sharp organic deceleration from the +6% of a year ago — by design, as 80/20 walkaways and China headwinds are front-loaded into H1.</w:t>
      </w:r>
    </w:p>
    <w:bookmarkEnd w:id="11"/>
    <w:bookmarkStart w:id="12" w:name="X0ba4c3081c696d3ac2068b7d2f8dc8684a506f1"/>
    <w:p>
      <w:pPr>
        <w:pStyle w:val="Heading2"/>
      </w:pPr>
      <w:r>
        <w:t xml:space="preserve">Full-year framework (the number that actually matters)</w:t>
      </w:r>
    </w:p>
    <w:p>
      <w:pPr>
        <w:pStyle w:val="Compact"/>
        <w:numPr>
          <w:ilvl w:val="0"/>
          <w:numId w:val="1002"/>
        </w:numPr>
      </w:pPr>
      <w:r>
        <w:rPr>
          <w:b/>
          <w:bCs/>
        </w:rPr>
        <w:t xml:space="preserve">Revenue:</w:t>
      </w:r>
      <w:r>
        <w:t xml:space="preserve"> </w:t>
      </w:r>
      <w:r>
        <w:t xml:space="preserve">$9.2–9.3B (+2–3% reported, +2–4% organic)</w:t>
      </w:r>
    </w:p>
    <w:p>
      <w:pPr>
        <w:pStyle w:val="Compact"/>
        <w:numPr>
          <w:ilvl w:val="0"/>
          <w:numId w:val="1002"/>
        </w:numPr>
      </w:pPr>
      <w:r>
        <w:rPr>
          <w:b/>
          <w:bCs/>
        </w:rPr>
        <w:t xml:space="preserve">Adjusted EBITDA margin:</w:t>
      </w:r>
      <w:r>
        <w:t xml:space="preserve"> </w:t>
      </w:r>
      <w:r>
        <w:t xml:space="preserve">22.9–23.3% (+70–110 bps)</w:t>
      </w:r>
    </w:p>
    <w:p>
      <w:pPr>
        <w:pStyle w:val="Compact"/>
        <w:numPr>
          <w:ilvl w:val="0"/>
          <w:numId w:val="1002"/>
        </w:numPr>
      </w:pPr>
      <w:r>
        <w:rPr>
          <w:b/>
          <w:bCs/>
        </w:rPr>
        <w:t xml:space="preserve">Adjusted EPS:</w:t>
      </w:r>
      <w:r>
        <w:t xml:space="preserve"> </w:t>
      </w:r>
      <m:oMath>
        <m:r>
          <m:t>5.35</m:t>
        </m:r>
        <m:r>
          <m:rPr>
            <m:sty m:val="p"/>
          </m:rPr>
          <m:t>–</m:t>
        </m:r>
      </m:oMath>
      <w:r>
        <w:rPr>
          <w:b/>
          <w:bCs/>
        </w:rPr>
        <w:t xml:space="preserve">5.60</w:t>
      </w:r>
      <w:r>
        <w:t xml:space="preserve"> </w:t>
      </w:r>
      <w:r>
        <w:t xml:space="preserve">(unchanged since the start of the year)</w:t>
      </w:r>
    </w:p>
    <w:p>
      <w:pPr>
        <w:pStyle w:val="Compact"/>
        <w:numPr>
          <w:ilvl w:val="0"/>
          <w:numId w:val="1002"/>
        </w:numPr>
      </w:pPr>
      <w:r>
        <w:rPr>
          <w:b/>
          <w:bCs/>
        </w:rPr>
        <w:t xml:space="preserve">FCF margin:</w:t>
      </w:r>
      <w:r>
        <w:t xml:space="preserve"> </w:t>
      </w:r>
      <w:r>
        <w:t xml:space="preserve">10.2–11.0%</w:t>
      </w:r>
    </w:p>
    <w:p>
      <w:pPr>
        <w:pStyle w:val="FirstParagraph"/>
      </w:pPr>
      <w:r>
        <w:t xml:space="preserve">Notably, at Q1 Xylem</w:t>
      </w:r>
      <w:r>
        <w:t xml:space="preserve"> </w:t>
      </w:r>
      <w:r>
        <w:rPr>
          <w:b/>
          <w:bCs/>
        </w:rPr>
        <w:t xml:space="preserve">held EPS guidance despite $581M of buybacks</w:t>
      </w:r>
      <w:r>
        <w:t xml:space="preserve">, framing it as "prudent" rather than a downgrade. That leaves a lever: a strong Q2 plus continued repurchases could support a raise — but management may again choose to bank the cushion given macro uncertainty. Watch whether they finally flow the buyback accretion through.</w:t>
      </w:r>
    </w:p>
    <w:bookmarkEnd w:id="12"/>
    <w:bookmarkStart w:id="13" w:name="the-five-things-id-focus-on"/>
    <w:p>
      <w:pPr>
        <w:pStyle w:val="Heading2"/>
      </w:pPr>
      <w:r>
        <w:t xml:space="preserve">The five things I'd focus on</w:t>
      </w:r>
    </w:p>
    <w:p>
      <w:pPr>
        <w:pStyle w:val="FirstParagraph"/>
      </w:pPr>
      <w:r>
        <w:rPr>
          <w:b/>
          <w:bCs/>
        </w:rPr>
        <w:t xml:space="preserve">1. Does the second-half ramp remain credible?</w:t>
      </w:r>
      <w:r>
        <w:t xml:space="preserve"> </w:t>
      </w:r>
      <w:r>
        <w:t xml:space="preserve">The full-year guide requires organic growth to step from ~1% in Q2 to ~5% in Q3 and mid-single digits in Q4. Management said the enabling orders "have progressed," MCS book-and-ship was up 9%, and channel inventory has normalized. But Grogan admitted "we still need to have a couple more orders hit" for the back half. Any commentary on those specific project wins is the single most important tell.</w:t>
      </w:r>
    </w:p>
    <w:p>
      <w:pPr>
        <w:pStyle w:val="BodyText"/>
      </w:pPr>
      <w:r>
        <w:rPr>
          <w:b/>
          <w:bCs/>
        </w:rPr>
        <w:t xml:space="preserve">2. MCS — the swing factor on both growth and margin.</w:t>
      </w:r>
      <w:r>
        <w:t xml:space="preserve"> </w:t>
      </w:r>
      <w:r>
        <w:t xml:space="preserve">Measurement &amp; Control orders have been up double digits four quarters running (+15–18% recently), driven by smart-metering. But orders remain below revenue, and Q2 MCS EBITDA margin will be</w:t>
      </w:r>
      <w:r>
        <w:t xml:space="preserve"> </w:t>
      </w:r>
      <w:r>
        <w:rPr>
          <w:b/>
          <w:bCs/>
        </w:rPr>
        <w:t xml:space="preserve">down YoY</w:t>
      </w:r>
      <w:r>
        <w:t xml:space="preserve"> </w:t>
      </w:r>
      <w:r>
        <w:t xml:space="preserve">again on energy-metering mix. The bull case: management guided MCS to exit the year "well in excess of 25% EBITDA margin" post the international-metrology divestiture (now expected to close ~end of Q2). Watch the divestiture close and the sequential margin trajectory.</w:t>
      </w:r>
    </w:p>
    <w:p>
      <w:pPr>
        <w:pStyle w:val="BodyText"/>
      </w:pPr>
      <w:r>
        <w:rPr>
          <w:b/>
          <w:bCs/>
        </w:rPr>
        <w:t xml:space="preserve">3. The $850M WSS mega-order and the pipeline behind it.</w:t>
      </w:r>
      <w:r>
        <w:t xml:space="preserve"> </w:t>
      </w:r>
      <w:r>
        <w:t xml:space="preserve">In April, Water Solutions &amp; Services booked its largest order ever — a 20-year outsourced water contract (~75% service / 25% capital) in specialty chemicals. Only ~10% of value hits in 2026, with water flowing in 2028. Look for (a) evidence of a repeatable pipeline of these outsourced deals, and (b) whether WSS capital-project timing (which dented Q1 orders) is recovering.</w:t>
      </w:r>
    </w:p>
    <w:p>
      <w:pPr>
        <w:pStyle w:val="BodyText"/>
      </w:pPr>
      <w:r>
        <w:rPr>
          <w:b/>
          <w:bCs/>
        </w:rPr>
        <w:t xml:space="preserve">4. Applied Water margins + the data-center tailwind.</w:t>
      </w:r>
      <w:r>
        <w:t xml:space="preserve"> </w:t>
      </w:r>
      <w:r>
        <w:t xml:space="preserve">Q1 Applied Water margin came in below management's own expectations (a mix issue), though they reaffirmed a path back above 20%. The offset:</w:t>
      </w:r>
      <w:r>
        <w:t xml:space="preserve"> </w:t>
      </w:r>
      <w:r>
        <w:rPr>
          <w:b/>
          <w:bCs/>
        </w:rPr>
        <w:t xml:space="preserve">Q1 data-center orders exceeded all of 2025's total</w:t>
      </w:r>
      <w:r>
        <w:t xml:space="preserve">. This is Xylem's clearest AI/electrification-adjacent growth vector — I'd watch order momentum and whether higher-margin DC projects start lifting the segment.</w:t>
      </w:r>
    </w:p>
    <w:p>
      <w:pPr>
        <w:pStyle w:val="BodyText"/>
      </w:pPr>
      <w:r>
        <w:rPr>
          <w:b/>
          <w:bCs/>
        </w:rPr>
        <w:t xml:space="preserve">5. Price/cost, tariffs, and China.</w:t>
      </w:r>
      <w:r>
        <w:t xml:space="preserve"> </w:t>
      </w:r>
      <w:r>
        <w:t xml:space="preserve">Management says it's price/cost positive including tariffs, with fuel surcharges already deployed for oil-price spikes, and reiterated "no material impact" from tariffs. China was down ~30% in Q1 (roughly a 2% H1 sales headwind), which they believe is "bouncing at the bottom." A confirmed China trough plus 80/20 walkaways peaking in H1 are prerequisites for the H2 acceleration.</w:t>
      </w:r>
    </w:p>
    <w:bookmarkEnd w:id="13"/>
    <w:bookmarkStart w:id="14" w:name="balance-sheet--capital-allocation"/>
    <w:p>
      <w:pPr>
        <w:pStyle w:val="Heading2"/>
      </w:pPr>
      <w:r>
        <w:t xml:space="preserve">Balance sheet / capital allocation</w:t>
      </w:r>
    </w:p>
    <w:p>
      <w:pPr>
        <w:pStyle w:val="FirstParagraph"/>
      </w:pPr>
      <w:r>
        <w:t xml:space="preserve">Xylem is under-levered at</w:t>
      </w:r>
      <w:r>
        <w:t xml:space="preserve"> </w:t>
      </w:r>
      <w:r>
        <w:rPr>
          <w:b/>
          <w:bCs/>
        </w:rPr>
        <w:t xml:space="preserve">0.6x net debt/EBITDA</w:t>
      </w:r>
      <w:r>
        <w:t xml:space="preserve"> </w:t>
      </w:r>
      <w:r>
        <w:t xml:space="preserve">with ~$0.8B cash. It has a fresh</w:t>
      </w:r>
      <w:r>
        <w:t xml:space="preserve"> </w:t>
      </w:r>
      <m:oMath>
        <m:r>
          <m:t>1.5</m:t>
        </m:r>
        <m:r>
          <m:t>B</m:t>
        </m:r>
        <m:r>
          <m:t>b</m:t>
        </m:r>
        <m:r>
          <m:t>u</m:t>
        </m:r>
        <m:r>
          <m:t>y</m:t>
        </m:r>
        <m:r>
          <m:t>b</m:t>
        </m:r>
        <m:r>
          <m:t>a</m:t>
        </m:r>
        <m:r>
          <m:t>c</m:t>
        </m:r>
        <m:r>
          <m:t>k</m:t>
        </m:r>
        <m:r>
          <m:t>a</m:t>
        </m:r>
        <m:r>
          <m:t>u</m:t>
        </m:r>
        <m:r>
          <m:t>t</m:t>
        </m:r>
        <m:r>
          <m:t>h</m:t>
        </m:r>
        <m:r>
          <m:t>o</m:t>
        </m:r>
        <m:r>
          <m:t>r</m:t>
        </m:r>
        <m:r>
          <m:t>i</m:t>
        </m:r>
        <m:r>
          <m:t>z</m:t>
        </m:r>
        <m:r>
          <m:t>a</m:t>
        </m:r>
        <m:r>
          <m:t>t</m:t>
        </m:r>
        <m:r>
          <m:t>i</m:t>
        </m:r>
        <m:r>
          <m:t>o</m:t>
        </m:r>
        <m:r>
          <m:t>n</m:t>
        </m:r>
        <m:r>
          <m:rPr>
            <m:sty m:val="p"/>
          </m:rPr>
          <m:t>(</m:t>
        </m:r>
      </m:oMath>
      <w:r>
        <w:t xml:space="preserve">581M used in Q1), raised the dividend ~8% in January, is pursuing a ~$1B/yr M&amp;A target (recent $219M German water-quality sensor tuck-in), and continues to buy back stock opportunistically. Expect questions on buyback pace given the stock's weakness.</w:t>
      </w:r>
    </w:p>
    <w:bookmarkEnd w:id="14"/>
    <w:bookmarkStart w:id="15" w:name="stock-context--sentiment-is-cautious"/>
    <w:p>
      <w:pPr>
        <w:pStyle w:val="Heading2"/>
      </w:pPr>
      <w:r>
        <w:t xml:space="preserve">Stock context — sentiment is cautious</w:t>
      </w:r>
    </w:p>
    <w:p>
      <w:pPr>
        <w:pStyle w:val="FirstParagraph"/>
      </w:pPr>
      <w:r>
        <w:t xml:space="preserve">XYL has been a persistent underperformer this year: shares started 2026 around</w:t>
      </w:r>
      <w:r>
        <w:t xml:space="preserve"> </w:t>
      </w:r>
      <m:oMath>
        <m:r>
          <m:t>137</m:t>
        </m:r>
        <m:r>
          <m:rPr>
            <m:sty m:val="p"/>
          </m:rPr>
          <m:t>*</m:t>
        </m:r>
        <m:r>
          <m:rPr>
            <m:sty m:val="p"/>
          </m:rPr>
          <m:t>*</m:t>
        </m:r>
        <m:r>
          <m:rPr>
            <m:sty m:val="p"/>
          </m:rPr>
          <m:t>,</m:t>
        </m:r>
        <m:r>
          <m:t>s</m:t>
        </m:r>
        <m:r>
          <m:t>o</m:t>
        </m:r>
        <m:r>
          <m:t>l</m:t>
        </m:r>
        <m:r>
          <m:t>d</m:t>
        </m:r>
        <m:r>
          <m:t>o</m:t>
        </m:r>
        <m:r>
          <m:t>f</m:t>
        </m:r>
        <m:r>
          <m:t>f</m:t>
        </m:r>
        <m:r>
          <m:t>a</m:t>
        </m:r>
        <m:r>
          <m:t>f</m:t>
        </m:r>
        <m:r>
          <m:t>t</m:t>
        </m:r>
        <m:r>
          <m:t>e</m:t>
        </m:r>
        <m:r>
          <m:t>r</m:t>
        </m:r>
        <m:r>
          <m:t>b</m:t>
        </m:r>
        <m:r>
          <m:t>o</m:t>
        </m:r>
        <m:r>
          <m:t>t</m:t>
        </m:r>
        <m:r>
          <m:t>h</m:t>
        </m:r>
        <m:r>
          <m:t>t</m:t>
        </m:r>
        <m:r>
          <m:t>h</m:t>
        </m:r>
        <m:r>
          <m:t>e</m:t>
        </m:r>
        <m:r>
          <m:t>Q</m:t>
        </m:r>
        <m:r>
          <m:t>4</m:t>
        </m:r>
        <m:r>
          <m:rPr>
            <m:sty m:val="p"/>
          </m:rPr>
          <m:t>(</m:t>
        </m:r>
        <m:r>
          <m:t>F</m:t>
        </m:r>
        <m:r>
          <m:t>e</m:t>
        </m:r>
        <m:r>
          <m:t>b</m:t>
        </m:r>
        <m:r>
          <m:rPr>
            <m:sty m:val="p"/>
          </m:rPr>
          <m:t>)</m:t>
        </m:r>
        <m:r>
          <m:t>a</m:t>
        </m:r>
        <m:r>
          <m:t>n</m:t>
        </m:r>
        <m:r>
          <m:t>d</m:t>
        </m:r>
        <m:r>
          <m:t>Q</m:t>
        </m:r>
        <m:r>
          <m:t>1</m:t>
        </m:r>
        <m:r>
          <m:rPr>
            <m:sty m:val="p"/>
          </m:rPr>
          <m:t>(</m:t>
        </m:r>
        <m:r>
          <m:t>A</m:t>
        </m:r>
        <m:r>
          <m:t>p</m:t>
        </m:r>
        <m:r>
          <m:t>r</m:t>
        </m:r>
        <m:r>
          <m:t>i</m:t>
        </m:r>
        <m:r>
          <m:t>l</m:t>
        </m:r>
        <m:r>
          <m:rPr>
            <m:sty m:val="p"/>
          </m:rPr>
          <m:t>)</m:t>
        </m:r>
        <m:r>
          <m:t>p</m:t>
        </m:r>
        <m:r>
          <m:t>r</m:t>
        </m:r>
        <m:r>
          <m:t>i</m:t>
        </m:r>
        <m:r>
          <m:t>n</m:t>
        </m:r>
        <m:r>
          <m:t>t</m:t>
        </m:r>
        <m:r>
          <m:t>s</m:t>
        </m:r>
        <m:r>
          <m:rPr>
            <m:sty m:val="p"/>
          </m:rPr>
          <m:t>,</m:t>
        </m:r>
        <m:r>
          <m:t>b</m:t>
        </m:r>
        <m:r>
          <m:t>o</m:t>
        </m:r>
        <m:r>
          <m:t>t</m:t>
        </m:r>
        <m:r>
          <m:t>t</m:t>
        </m:r>
        <m:r>
          <m:t>o</m:t>
        </m:r>
        <m:r>
          <m:t>m</m:t>
        </m:r>
        <m:r>
          <m:t>e</m:t>
        </m:r>
        <m:r>
          <m:t>d</m:t>
        </m:r>
        <m:r>
          <m:t>n</m:t>
        </m:r>
        <m:r>
          <m:t>e</m:t>
        </m:r>
        <m:r>
          <m:t>a</m:t>
        </m:r>
        <m:r>
          <m:t>r</m:t>
        </m:r>
        <m:r>
          <m:rPr>
            <m:sty m:val="p"/>
          </m:rPr>
          <m:t>*</m:t>
        </m:r>
        <m:r>
          <m:rPr>
            <m:sty m:val="p"/>
          </m:rPr>
          <m:t>*</m:t>
        </m:r>
      </m:oMath>
      <w:r>
        <w:rPr>
          <w:b/>
          <w:bCs/>
        </w:rPr>
        <w:t xml:space="preserve">106 in May</w:t>
      </w:r>
      <w:r>
        <w:t xml:space="preserve">, and have since recovered to roughly</w:t>
      </w:r>
      <w:r>
        <w:t xml:space="preserve"> </w:t>
      </w:r>
      <w:r>
        <w:rPr>
          <w:b/>
          <w:bCs/>
        </w:rPr>
        <w:t xml:space="preserve">$120</w:t>
      </w:r>
      <w:r>
        <w:t xml:space="preserve"> </w:t>
      </w:r>
      <w:r>
        <w:t xml:space="preserve">(still down ~12% YTD). The stock has notably fallen on each of the last two earnings dates. That reset arguably lowers the bar — but it also signals the market wants proof of the back-half acceleration, not just a reaffirmed guide.</w:t>
      </w:r>
    </w:p>
    <w:bookmarkEnd w:id="15"/>
    <w:bookmarkStart w:id="16" w:name="bottom-line"/>
    <w:p>
      <w:pPr>
        <w:pStyle w:val="Heading2"/>
      </w:pPr>
      <w:r>
        <w:t xml:space="preserve">Bottom line</w:t>
      </w:r>
    </w:p>
    <w:p>
      <w:pPr>
        <w:pStyle w:val="FirstParagraph"/>
      </w:pPr>
      <w:r>
        <w:t xml:space="preserve">This is a quarter where a simple in-line print may not be enough. The market already knows Q2 is the trough (~1% organic); what it needs is confidence in the ramp — specifically the "couple more" MCS orders, the MCS margin inflection into 25%+, the Applied Water/data-center margin recovery, and any sign that the held EPS guide (with buyback accretion not yet baked in) has upside. Given the stock's poor reaction history and cautious positioning, the risk/reward hinges more on the H2 order/backlog narrative than on the Q2 numbers themselves.</w:t>
      </w:r>
    </w:p>
    <w:p>
      <w:pPr>
        <w:pStyle w:val="BodyText"/>
      </w:pPr>
      <w:r>
        <w:rPr>
          <w:i/>
          <w:iCs/>
        </w:rPr>
        <w:t xml:space="preserve">Note: I could not find published third-party (sell-side consensus) Q2 estimates in the available sources, so expectations above are anchored to management's explicit Q2 guidance. All figures are from Xylem's Q1 2026 and Q2 2025 earnings materials.</w:t>
      </w:r>
    </w:p>
    <w:bookmarkEnd w:id="16"/>
    <w:bookmarkEnd w:id="17"/>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000">
    <w:abstractNumId w:val="990"/>
  </w:num>
  <w:num w:numId="1001">
    <w:abstractNumId w:val="991"/>
  </w:num>
  <w:num w:numId="1002">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2026-07-28T00:35:44Z</dcterms:created>
  <dcterms:modified xsi:type="dcterms:W3CDTF">2026-07-28T00:35:44Z</dcterms:modified>
</cp:coreProperties>
</file>

<file path=docProps/custom.xml><?xml version="1.0" encoding="utf-8"?>
<Properties xmlns="http://schemas.openxmlformats.org/officeDocument/2006/custom-properties" xmlns:vt="http://schemas.openxmlformats.org/officeDocument/2006/docPropsVTypes"/>
</file>