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yl-earnings-predictions--2026-07-28"/>
    <w:p>
      <w:pPr>
        <w:pStyle w:val="Heading1"/>
      </w:pPr>
      <w:r>
        <w:t xml:space="preserve">XYL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~$1.36 vs. cons $1.34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~$2.32B vs. cons $2.335B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~22.3% vs. cons ~22.4%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~$5.35–5.60 (midpoint $5.48) vs. cons $5.48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H2 2026 organic revenue growth ramp (Q3 guide)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~3–5% organic vs. cons ~4% (H2 2026 / Q3 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MCS segment margin trajectory / post-divestiture exit margin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~exiting year &gt;25% EBITDA margin vs. cons ~25% (Q4 2026 exit rate)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-1.2%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-2.0% (FADE)</w:t>
            </w:r>
          </w:p>
        </w:tc>
        <w:tc>
          <w:tcPr/>
          <w:p>
            <w:pPr>
              <w:pStyle w:val="Compact"/>
            </w:pPr>
            <w:r>
              <w:t xml:space="preserve">EPS likely lands near top of guide (small beat) but revenue is soft/in-line and full-year guide is only reaffirmed, not raised, leaving the H2 organic acceleration (1%→3-5%) unconfirmed; MCS margin still down y/y in Q2 and China/Applied Water recovery only 'in progress' keep analysts cautious on the out-quarters. With Zacks ESP already negative and buy-side positioned defensively after a 22% drawdown, an in-line-to-modest-beat print likely triggers a small relief pop on day 1 that fades over the week as sell-side models the implicit back-half execution risk and trims FY26/FY27 estimates rather than raising them.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2026-07-28T00:38:50Z</dcterms:created>
  <dcterms:modified xsi:type="dcterms:W3CDTF">2026-07-28T00:38:50Z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