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 now have sufficient information to write a comprehensive earnings preview. Let me compile everything into a well-structured markdown document.Now I have a comprehensive picture. Let me write the earnings preview.I have enough material now. Let me write the full earnings preview.</w:t>
      </w:r>
    </w:p>
    <w:bookmarkStart w:id="15" w:name="xylem-inc-xyl--q2-2026-earnings-preview"/>
    <w:p>
      <w:pPr>
        <w:pStyle w:val="Heading1"/>
      </w:pPr>
      <w:r>
        <w:t xml:space="preserve">Xylem Inc. (XYL) — Q2 2026 Earnings Preview</w:t>
      </w:r>
    </w:p>
    <w:p>
      <w:pPr>
        <w:pStyle w:val="FirstParagraph"/>
      </w:pPr>
      <w:r>
        <w:rPr>
          <w:b/>
          <w:bCs/>
        </w:rPr>
        <w:t xml:space="preserve">Report Date:</w:t>
      </w:r>
      <w:r>
        <w:t xml:space="preserve"> </w:t>
      </w:r>
      <w:r>
        <w:t xml:space="preserve">Tuesday, July 28, 2026, before market open |</w:t>
      </w:r>
      <w:r>
        <w:t xml:space="preserve"> </w:t>
      </w:r>
      <w:r>
        <w:rPr>
          <w:b/>
          <w:bCs/>
        </w:rPr>
        <w:t xml:space="preserve">Call:</w:t>
      </w:r>
      <w:r>
        <w:t xml:space="preserve"> </w:t>
      </w:r>
      <w:r>
        <w:t xml:space="preserve">2026Q2 Earnings Call</w:t>
      </w:r>
    </w:p>
    <w:p>
      <w:r>
        <w:pict>
          <v:rect style="width:0;height:1.5pt" o:hralign="center" o:hrstd="t" o:hr="t"/>
        </w:pict>
      </w:r>
    </w:p>
    <w:bookmarkStart w:id="9" w:name="snapshot"/>
    <w:p>
      <w:pPr>
        <w:pStyle w:val="Heading2"/>
      </w:pPr>
      <w:r>
        <w:t xml:space="preserve">Snapshot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Detail</w:t>
            </w:r>
          </w:p>
        </w:tc>
      </w:tr>
      <w:tr>
        <w:tc>
          <w:tcPr/>
          <w:p>
            <w:pPr>
              <w:pStyle w:val="Compact"/>
            </w:pPr>
            <w:r>
              <w:t xml:space="preserve">Consensus EPS (adjusted)</w:t>
            </w:r>
          </w:p>
        </w:tc>
        <w:tc>
          <w:tcPr/>
          <w:p>
            <w:pPr>
              <w:pStyle w:val="Compact"/>
            </w:pPr>
            <w:r>
              <w:rPr>
                <w:b/>
                <w:bCs/>
              </w:rPr>
              <w:t xml:space="preserve">~$1.34</w:t>
            </w:r>
            <w:r>
              <w:t xml:space="preserve"> </w:t>
            </w:r>
            <w:r>
              <w:t xml:space="preserve">(+6.4% y/y)</w:t>
            </w:r>
          </w:p>
        </w:tc>
      </w:tr>
      <w:tr>
        <w:tc>
          <w:tcPr/>
          <w:p>
            <w:pPr>
              <w:pStyle w:val="Compact"/>
            </w:pPr>
            <w:r>
              <w:t xml:space="preserve">Consensus Revenue</w:t>
            </w:r>
          </w:p>
        </w:tc>
        <w:tc>
          <w:tcPr/>
          <w:p>
            <w:pPr>
              <w:pStyle w:val="Compact"/>
            </w:pPr>
            <w:r>
              <w:rPr>
                <w:b/>
                <w:bCs/>
              </w:rPr>
              <w:t xml:space="preserve">~$2.33–2.34 billion</w:t>
            </w:r>
            <w:r>
              <w:t xml:space="preserve"> </w:t>
            </w:r>
            <w:r>
              <w:t xml:space="preserve">(+1.2–1.7% y/y)</w:t>
            </w:r>
          </w:p>
        </w:tc>
      </w:tr>
      <w:tr>
        <w:tc>
          <w:tcPr/>
          <w:p>
            <w:pPr>
              <w:pStyle w:val="Compact"/>
            </w:pPr>
            <w:r>
              <w:t xml:space="preserve">Q1 2026 result (for context)</w:t>
            </w:r>
          </w:p>
        </w:tc>
        <w:tc>
          <w:tcPr/>
          <w:p>
            <w:pPr>
              <w:pStyle w:val="Compact"/>
            </w:pPr>
            <w:r>
              <w:t xml:space="preserve">Revenue $2.1B (flat organic); Adj. EPS $1.12 (beat $1.09 consensus)</w:t>
            </w:r>
          </w:p>
        </w:tc>
      </w:tr>
      <w:tr>
        <w:tc>
          <w:tcPr/>
          <w:p>
            <w:pPr>
              <w:pStyle w:val="Compact"/>
            </w:pPr>
            <w:r>
              <w:t xml:space="preserve">FY2026 Guidance (reaffirmed in Q1)</w:t>
            </w:r>
          </w:p>
        </w:tc>
        <w:tc>
          <w:tcPr/>
          <w:p>
            <w:pPr>
              <w:pStyle w:val="Compact"/>
            </w:pPr>
            <w:r>
              <w:t xml:space="preserve">Revenue $9.2–9.3B (+2–3% reported, +2–4% organic); Adj. EBITDA margin 22.9–23.3%; Adj. EPS $5.35–5.60</w:t>
            </w:r>
          </w:p>
        </w:tc>
      </w:tr>
      <w:tr>
        <w:tc>
          <w:tcPr/>
          <w:p>
            <w:pPr>
              <w:pStyle w:val="Compact"/>
            </w:pPr>
            <w:r>
              <w:t xml:space="preserve">Company's own Q2 guide (given April 28)</w:t>
            </w:r>
          </w:p>
        </w:tc>
        <w:tc>
          <w:tcPr/>
          <w:p>
            <w:pPr>
              <w:pStyle w:val="Compact"/>
            </w:pPr>
            <w:r>
              <w:t xml:space="preserve">Revenue +2–3% reported (~1% organic); EBITDA margin ~22–22.5%;</w:t>
            </w:r>
            <w:r>
              <w:t xml:space="preserve"> </w:t>
            </w:r>
            <w:r>
              <w:rPr>
                <w:b/>
                <w:bCs/>
              </w:rPr>
              <w:t xml:space="preserve">EPS $1.31–1.36</w:t>
            </w:r>
          </w:p>
        </w:tc>
      </w:tr>
      <w:tr>
        <w:tc>
          <w:tcPr/>
          <w:p>
            <w:pPr>
              <w:pStyle w:val="Compact"/>
            </w:pPr>
            <w:r>
              <w:t xml:space="preserve">Stock price (7/27/2026 close)</w:t>
            </w:r>
          </w:p>
        </w:tc>
        <w:tc>
          <w:tcPr/>
          <w:p>
            <w:pPr>
              <w:pStyle w:val="Compact"/>
            </w:pPr>
            <w:r>
              <w:t xml:space="preserve">~$120, well off the 52-week high of $154.27 (52-week range</w:t>
            </w:r>
            <w:r>
              <w:t xml:space="preserve"> </w:t>
            </w:r>
            <m:oMath>
              <m:r>
                <m:t>105.29</m:t>
              </m:r>
              <m:r>
                <m:rPr>
                  <m:sty m:val="p"/>
                </m:rPr>
                <m:t>–</m:t>
              </m:r>
            </m:oMath>
            <w:r>
              <w:t xml:space="preserve">154.27)</w:t>
            </w:r>
          </w:p>
        </w:tc>
      </w:tr>
      <w:tr>
        <w:tc>
          <w:tcPr/>
          <w:p>
            <w:pPr>
              <w:pStyle w:val="Compact"/>
            </w:pPr>
            <w:r>
              <w:t xml:space="preserve">Zacks Earnings ESP / Rank</w:t>
            </w:r>
          </w:p>
        </w:tc>
        <w:tc>
          <w:tcPr/>
          <w:p>
            <w:pPr>
              <w:pStyle w:val="Compact"/>
            </w:pPr>
            <w:r>
              <w:t xml:space="preserve">-0.34% / Rank #3 — model does</w:t>
            </w:r>
            <w:r>
              <w:t xml:space="preserve"> </w:t>
            </w:r>
            <w:r>
              <w:rPr>
                <w:b/>
                <w:bCs/>
              </w:rPr>
              <w:t xml:space="preserve">not</w:t>
            </w:r>
            <w:r>
              <w:t xml:space="preserve"> </w:t>
            </w:r>
            <w:r>
              <w:t xml:space="preserve">conclusively predict a beat</w:t>
            </w:r>
          </w:p>
        </w:tc>
      </w:tr>
      <w:tr>
        <w:tc>
          <w:tcPr/>
          <w:p>
            <w:pPr>
              <w:pStyle w:val="Compact"/>
            </w:pPr>
            <w:r>
              <w:t xml:space="preserve">Valuation</w:t>
            </w:r>
          </w:p>
        </w:tc>
        <w:tc>
          <w:tcPr/>
          <w:p>
            <w:pPr>
              <w:pStyle w:val="Compact"/>
            </w:pPr>
            <w:r>
              <w:t xml:space="preserve">Forward P/E ~21x; several analysts (GuruFocus GF Value) flag the stock as modestly undervalued after a ~13.5% YTD decline</w:t>
            </w:r>
          </w:p>
        </w:tc>
      </w:tr>
    </w:tbl>
    <w:p>
      <w:pPr>
        <w:pStyle w:val="BodyText"/>
      </w:pPr>
      <w:r>
        <w:t xml:space="preserve">Xylem beat consensus EPS in three of the last four quarters and matched once, with average surprise near 6%, so the base rate favors a beat, but sell-side has grown more cautious into this print.</w:t>
      </w:r>
    </w:p>
    <w:bookmarkEnd w:id="9"/>
    <w:bookmarkStart w:id="10" w:name="what-happened-last-quarter-q1-2026-recap"/>
    <w:p>
      <w:pPr>
        <w:pStyle w:val="Heading2"/>
      </w:pPr>
      <w:r>
        <w:t xml:space="preserve">What Happened Last Quarter (Q1 2026 Recap)</w:t>
      </w:r>
    </w:p>
    <w:p>
      <w:pPr>
        <w:pStyle w:val="FirstParagraph"/>
      </w:pPr>
      <w:r>
        <w:t xml:space="preserve">Xylem's first quarter was a "resilient but unspectacular" print: demand for mission-critical solutions was consistent with expectations, with teams leveraging reduced complexity to execute with discipline, and a strong book-to-bill in the quarter. Orders and revenue were both roughly flat organically, as the team delivered healthy results despite volatility, with ending backlog up sequentially to $4.7 billion and book-to-bill above 1. Adjusted EBITDA margin expanded 20bps to 20.6%, and adjusted EPS of $1.12 beat the $1.09 Street estimate even as revenue landed slightly light.</w:t>
      </w:r>
    </w:p>
    <w:p>
      <w:pPr>
        <w:pStyle w:val="BodyText"/>
      </w:pPr>
      <w:r>
        <w:t xml:space="preserve">Key segment dynamics from Q1 that carry into Q2:</w:t>
      </w:r>
    </w:p>
    <w:p>
      <w:pPr>
        <w:pStyle w:val="Compact"/>
        <w:numPr>
          <w:ilvl w:val="0"/>
          <w:numId w:val="1001"/>
        </w:numPr>
      </w:pPr>
      <w:r>
        <w:rPr>
          <w:b/>
          <w:bCs/>
        </w:rPr>
        <w:t xml:space="preserve">Measurement &amp; Control Solutions (MCS):</w:t>
      </w:r>
      <w:r>
        <w:t xml:space="preserve"> </w:t>
      </w:r>
      <w:r>
        <w:t xml:space="preserve">Orders were up a robust 15%, driven by smart metering demand in Water as the company made progress on projects that shifted out of Q4, with double-digit orders growth for Water expected throughout the balance of the year. The pending divestiture of the international metering business was delayed — the deal is now expected to close at the end of Q2 — which is the main driver of the reported (vs. organic) revenue guidance tweak.</w:t>
      </w:r>
    </w:p>
    <w:p>
      <w:pPr>
        <w:pStyle w:val="Compact"/>
        <w:numPr>
          <w:ilvl w:val="0"/>
          <w:numId w:val="1001"/>
        </w:numPr>
      </w:pPr>
      <w:r>
        <w:rPr>
          <w:b/>
          <w:bCs/>
        </w:rPr>
        <w:t xml:space="preserve">Water Infrastructure:</w:t>
      </w:r>
      <w:r>
        <w:t xml:space="preserve"> </w:t>
      </w:r>
      <w:r>
        <w:t xml:space="preserve">Orders were up 2%, driven by strong Transport demand in the U.S. and India, while China orders were down roughly 30% year-over-year, a headwind management has said is "bottoming."</w:t>
      </w:r>
    </w:p>
    <w:p>
      <w:pPr>
        <w:pStyle w:val="Compact"/>
        <w:numPr>
          <w:ilvl w:val="0"/>
          <w:numId w:val="1001"/>
        </w:numPr>
      </w:pPr>
      <w:r>
        <w:rPr>
          <w:b/>
          <w:bCs/>
        </w:rPr>
        <w:t xml:space="preserve">Applied Water:</w:t>
      </w:r>
      <w:r>
        <w:t xml:space="preserve"> </w:t>
      </w:r>
      <w:r>
        <w:t xml:space="preserve">Orders were up 2% with book-to-bill well above 1, lifted by large projects and data center wins — data center orders in Q1 alone exceeded the full-year 2025 total. Margin came in below expectations on mix but management expects a return above 20% later in the year.</w:t>
      </w:r>
    </w:p>
    <w:p>
      <w:pPr>
        <w:pStyle w:val="Compact"/>
        <w:numPr>
          <w:ilvl w:val="0"/>
          <w:numId w:val="1001"/>
        </w:numPr>
      </w:pPr>
      <w:r>
        <w:rPr>
          <w:b/>
          <w:bCs/>
        </w:rPr>
        <w:t xml:space="preserve">Water Solutions &amp; Services (WSS):</w:t>
      </w:r>
      <w:r>
        <w:t xml:space="preserve"> </w:t>
      </w:r>
      <w:r>
        <w:t xml:space="preserve">Orders declined on capital-project timing, but subsequent to quarter-end WSS booked its largest order ever this month, an outsourced water contract for $850 million delivered over 20 years. Management detailed that the $850 million contract is about 75% service and 25% capital, with roughly 10% of contract value realized this year, the balance of the capital build next year, and the service tail beginning around 2028.</w:t>
      </w:r>
    </w:p>
    <w:bookmarkEnd w:id="10"/>
    <w:bookmarkStart w:id="11" w:name="Xf8137468d3186be53b9c82cee2c606173e48615"/>
    <w:p>
      <w:pPr>
        <w:pStyle w:val="Heading2"/>
      </w:pPr>
      <w:r>
        <w:t xml:space="preserve">The Company's Own Q2 Guidance — The Bar to Watch</w:t>
      </w:r>
    </w:p>
    <w:p>
      <w:pPr>
        <w:pStyle w:val="FirstParagraph"/>
      </w:pPr>
      <w:r>
        <w:t xml:space="preserve">On the Q1 call, CFO Bill Grogan laid out explicit second-quarter targets: revenue growth in the 2% to 3% range on a reported basis and roughly 1% organically, second-quarter EBITDA margin of approximately 22% to 22.5% (up 20–70bps), and EPS of $1.31 to</w:t>
      </w:r>
      <w:r>
        <w:t xml:space="preserve"> </w:t>
      </w:r>
      <m:oMath>
        <m:r>
          <m:t>1.36</m:t>
        </m:r>
        <m:r>
          <m:rPr>
            <m:sty m:val="p"/>
          </m:rPr>
          <m:t>.</m:t>
        </m:r>
        <m:r>
          <m:t>C</m:t>
        </m:r>
        <m:r>
          <m:t>o</m:t>
        </m:r>
        <m:r>
          <m:t>n</m:t>
        </m:r>
        <m:r>
          <m:t>s</m:t>
        </m:r>
        <m:r>
          <m:t>e</m:t>
        </m:r>
        <m:r>
          <m:t>n</m:t>
        </m:r>
        <m:r>
          <m:t>s</m:t>
        </m:r>
        <m:r>
          <m:t>u</m:t>
        </m:r>
        <m:r>
          <m:t>s</m:t>
        </m:r>
        <m:r>
          <m:rPr>
            <m:sty m:val="p"/>
          </m:rPr>
          <m:t>(</m:t>
        </m:r>
      </m:oMath>
      <w:r>
        <w:t xml:space="preserve">1.34 EPS, ~$2.33–2.34B revenue) sits squarely inside that range, so this print is as much about</w:t>
      </w:r>
      <w:r>
        <w:t xml:space="preserve"> </w:t>
      </w:r>
      <w:r>
        <w:rPr>
          <w:b/>
          <w:bCs/>
        </w:rPr>
        <w:t xml:space="preserve">confirming the back-half ramp</w:t>
      </w:r>
      <w:r>
        <w:t xml:space="preserve"> </w:t>
      </w:r>
      <w:r>
        <w:t xml:space="preserve">as it is about beating a static number.</w:t>
      </w:r>
    </w:p>
    <w:p>
      <w:pPr>
        <w:pStyle w:val="BodyText"/>
      </w:pPr>
      <w:r>
        <w:t xml:space="preserve">Notably, management flagged that MCS EBITDA margin will be down year-over-year in Q2, driven by impacts from the Energy business, but should improve sequentially from Q1 and return to margin expansion in the second half. Any slippage here would raise doubts about the full-year bridge.</w:t>
      </w:r>
    </w:p>
    <w:bookmarkEnd w:id="11"/>
    <w:bookmarkStart w:id="12" w:name="X7b0489acd85185d6303e25bd29c2c9bb8c90d5e"/>
    <w:p>
      <w:pPr>
        <w:pStyle w:val="Heading2"/>
      </w:pPr>
      <w:r>
        <w:t xml:space="preserve">Key Themes and Swing Factors for This Print</w:t>
      </w:r>
    </w:p>
    <w:p>
      <w:pPr>
        <w:pStyle w:val="FirstParagraph"/>
      </w:pPr>
      <w:r>
        <w:rPr>
          <w:b/>
          <w:bCs/>
        </w:rPr>
        <w:t xml:space="preserve">1. Second-half acceleration is the crux of the full-year story.</w:t>
      </w:r>
      <w:r>
        <w:t xml:space="preserve"> </w:t>
      </w:r>
      <w:r>
        <w:t xml:space="preserve">Full-year guidance implies a meaningful step-up in organic growth in H2 relative to the ~flat-to-1% pace in H1. On the Q1 call, management explained the mechanics: the ramp in the second half reflects normal seasonality — third-quarter revenue is roughly flat sequentially but growth accelerates from 1% to 5%, with a further seasonal ramp in Q4 in Water Infrastructure. Investors will want fresh evidence (backlog conversion, order timing) that this ramp is on track rather than slipping further right, especially since Zacks' latest coverage frames this as a company "</w:t>
      </w:r>
      <w:r>
        <w:rPr>
          <w:b/>
          <w:bCs/>
        </w:rPr>
        <w:t xml:space="preserve">facing an earnings test as [its] growth acceleration promise looms</w:t>
      </w:r>
      <w:r>
        <w:t xml:space="preserve">."</w:t>
      </w:r>
    </w:p>
    <w:p>
      <w:pPr>
        <w:pStyle w:val="BodyText"/>
      </w:pPr>
      <w:r>
        <w:rPr>
          <w:b/>
          <w:bCs/>
        </w:rPr>
        <w:t xml:space="preserve">2. MCS order-to-revenue conversion and the divestiture close.</w:t>
      </w:r>
      <w:r>
        <w:t xml:space="preserve"> </w:t>
      </w:r>
      <w:r>
        <w:t xml:space="preserve">MCS orders have grown double-digitally for four straight quarters, but dollar order levels have trailed revenue — management has guided investors to watch backlog alongside orders on a rolling ~24-month view. Watch for confirmation that the international metering divestiture actually closed at quarter-end as planned, which affects the reported-vs-organic revenue bridge, and for commentary that post-divestiture MCS margins are tracking toward "well in excess of 25% EBITDA margins" exiting the year.</w:t>
      </w:r>
    </w:p>
    <w:p>
      <w:pPr>
        <w:pStyle w:val="BodyText"/>
      </w:pPr>
      <w:r>
        <w:rPr>
          <w:b/>
          <w:bCs/>
        </w:rPr>
        <w:t xml:space="preserve">3. China and Applied Water margin recovery.</w:t>
      </w:r>
      <w:r>
        <w:t xml:space="preserve"> </w:t>
      </w:r>
      <w:r>
        <w:t xml:space="preserve">China orders were down ~30% in Q1, split roughly a third market-driven, a third competitive, and a third self-inflicted (walking away from lower-margin business). Management called this a bottom but comps only get easier as the year progresses. Applied Water margin missed expectations in Q1 on mix — confirmation that it has resumed its climb back above 20% will be an important data point on execution.</w:t>
      </w:r>
    </w:p>
    <w:p>
      <w:pPr>
        <w:pStyle w:val="BodyText"/>
      </w:pPr>
      <w:r>
        <w:rPr>
          <w:b/>
          <w:bCs/>
        </w:rPr>
        <w:t xml:space="preserve">4. Price/cost and tariff/inflation management.</w:t>
      </w:r>
      <w:r>
        <w:t xml:space="preserve"> </w:t>
      </w:r>
      <w:r>
        <w:t xml:space="preserve">Management has repeatedly emphasized pricing as its first lever against inflation, including fuel surcharges tied to Middle East-driven energy cost spikes, and reiterated no material impact to projected results from recently announced changes in tariffs. With tariff policy still shifting through 2026, any change in this stance would matter for margin credibility.</w:t>
      </w:r>
    </w:p>
    <w:p>
      <w:pPr>
        <w:pStyle w:val="BodyText"/>
      </w:pPr>
      <w:r>
        <w:rPr>
          <w:b/>
          <w:bCs/>
        </w:rPr>
        <w:t xml:space="preserve">5. Capital allocation cadence.</w:t>
      </w:r>
      <w:r>
        <w:t xml:space="preserve"> </w:t>
      </w:r>
      <w:r>
        <w:t xml:space="preserve">Xylem entered 2026 aggressively: an ~8% dividend increase in January, a new $1.5 billion share-repurchase authorization in February with</w:t>
      </w:r>
      <w:r>
        <w:t xml:space="preserve"> </w:t>
      </w:r>
      <m:oMath>
        <m:r>
          <m:t>581</m:t>
        </m:r>
        <m:r>
          <m:t>m</m:t>
        </m:r>
        <m:r>
          <m:t>i</m:t>
        </m:r>
        <m:r>
          <m:t>l</m:t>
        </m:r>
        <m:r>
          <m:t>l</m:t>
        </m:r>
        <m:r>
          <m:t>i</m:t>
        </m:r>
        <m:r>
          <m:t>o</m:t>
        </m:r>
        <m:r>
          <m:t>n</m:t>
        </m:r>
        <m:r>
          <m:t>e</m:t>
        </m:r>
        <m:r>
          <m:t>x</m:t>
        </m:r>
        <m:r>
          <m:t>e</m:t>
        </m:r>
        <m:r>
          <m:t>c</m:t>
        </m:r>
        <m:r>
          <m:t>u</m:t>
        </m:r>
        <m:r>
          <m:t>t</m:t>
        </m:r>
        <m:r>
          <m:t>e</m:t>
        </m:r>
        <m:r>
          <m:t>d</m:t>
        </m:r>
        <m:r>
          <m:t>i</m:t>
        </m:r>
        <m:r>
          <m:t>n</m:t>
        </m:r>
        <m:r>
          <m:t>Q</m:t>
        </m:r>
        <m:r>
          <m:t>1</m:t>
        </m:r>
        <m:r>
          <m:rPr>
            <m:sty m:val="p"/>
          </m:rPr>
          <m:t>,</m:t>
        </m:r>
        <m:r>
          <m:t>a</m:t>
        </m:r>
        <m:r>
          <m:t>n</m:t>
        </m:r>
        <m:r>
          <m:t>d</m:t>
        </m:r>
        <m:r>
          <m:t>a</m:t>
        </m:r>
        <m:r>
          <m:t> </m:t>
        </m:r>
      </m:oMath>
      <w:r>
        <w:t xml:space="preserve">219 million tuck-in acquisition of a German water-quality instrumentation maker in March. Management said it would reassess buyback pace through Q2 depending on stock dislocation, targeting net leverage of 0.5x to 1x net debt to EBITDA — with the stock down meaningfully from its highs, investors will want an update on repurchase activity and the ~$1 billion annual M&amp;A deployment target.</w:t>
      </w:r>
    </w:p>
    <w:p>
      <w:pPr>
        <w:pStyle w:val="BodyText"/>
      </w:pPr>
      <w:r>
        <w:rPr>
          <w:b/>
          <w:bCs/>
        </w:rPr>
        <w:t xml:space="preserve">6. Municipal/utility demand durability.</w:t>
      </w:r>
      <w:r>
        <w:t xml:space="preserve"> </w:t>
      </w:r>
      <w:r>
        <w:t xml:space="preserve">Management struck a confident tone on secular demand: U.S. utility orders (a proxy via the MCS and Water Infrastructure segments) were up double digits with revenue up mid-teens, and CEO Matthew Pine cited conversations with roughly 15 utility CEOs showing no meaningful funding pullbacks or project delays, alongside the well-worn $1.5 trillion decade-long U.S. water infrastructure funding gap thesis. Confirmation of continued municipal resilience — even as some peers see macro softness — would support the multi-year growth narrative.</w:t>
      </w:r>
    </w:p>
    <w:bookmarkEnd w:id="12"/>
    <w:bookmarkStart w:id="13" w:name="setup-into-the-print"/>
    <w:p>
      <w:pPr>
        <w:pStyle w:val="Heading2"/>
      </w:pPr>
      <w:r>
        <w:t xml:space="preserve">Setup Into the Print</w:t>
      </w:r>
    </w:p>
    <w:p>
      <w:pPr>
        <w:pStyle w:val="FirstParagraph"/>
      </w:pPr>
      <w:r>
        <w:t xml:space="preserve">The stock has been a laggard: shares closed near</w:t>
      </w:r>
      <w:r>
        <w:t xml:space="preserve"> </w:t>
      </w:r>
      <w:r>
        <w:rPr>
          <w:b/>
          <w:bCs/>
        </w:rPr>
        <w:t xml:space="preserve">$120</w:t>
      </w:r>
      <w:r>
        <w:t xml:space="preserve"> </w:t>
      </w:r>
      <w:r>
        <w:t xml:space="preserve">on July 27, roughly</w:t>
      </w:r>
      <w:r>
        <w:t xml:space="preserve"> </w:t>
      </w:r>
      <w:r>
        <w:rPr>
          <w:b/>
          <w:bCs/>
        </w:rPr>
        <w:t xml:space="preserve">22% below</w:t>
      </w:r>
      <w:r>
        <w:t xml:space="preserve"> </w:t>
      </w:r>
      <w:r>
        <w:t xml:space="preserve">the all-time/52-week high of $154.27 set in October 2025, and down about 13.5% year-to-date. Sell-side has trimmed price targets modestly into the print (e.g., Stifel cut its target from $159 to $157 on July 20, still rating shares Buy; RBC raised its target to $159 on July 16, maintaining Outperform), while Zacks' quantitative model carries a negative Earnings ESP (-0.34%) alongside a neutral Rank #3, meaning it does not conclusively call a beat this quarter. Several valuation screens (e.g., GuruFocus GF Value) characterize the stock as modestly undervalued relative to history after the pullback, with forward P/E around 21x versus a 5-year median in the 30–40x range.</w:t>
      </w:r>
    </w:p>
    <w:bookmarkEnd w:id="13"/>
    <w:bookmarkStart w:id="14" w:name="bottom-line-for-investors"/>
    <w:p>
      <w:pPr>
        <w:pStyle w:val="Heading2"/>
      </w:pPr>
      <w:r>
        <w:t xml:space="preserve">Bottom Line for Investors</w:t>
      </w:r>
    </w:p>
    <w:p>
      <w:pPr>
        <w:pStyle w:val="FirstParagraph"/>
      </w:pPr>
      <w:r>
        <w:t xml:space="preserve">This is a "show-me" quarter rather than a blowout-expectations setup. The headline EPS/revenue numbers are likely to land within management's own guided range (</w:t>
      </w:r>
      <m:oMath>
        <m:r>
          <m:t>1.31</m:t>
        </m:r>
        <m:r>
          <m:rPr>
            <m:sty m:val="p"/>
          </m:rPr>
          <m:t>–</m:t>
        </m:r>
      </m:oMath>
      <w:r>
        <w:t xml:space="preserve">1.36 EPS), so the more important signals will be: (1) whether MCS orders/backlog and the metering divestiture close as planned, (2) whether Applied Water and MCS margins show the sequential improvement management promised, (3) any incremental color on the H2 organic growth acceleration that full-year guidance depends on, and (4) capital-deployment updates (buyback pace, M&amp;A pipeline progress toward the</w:t>
      </w:r>
      <w:r>
        <w:t xml:space="preserve"> </w:t>
      </w:r>
      <m:oMath>
        <m:r>
          <m:t>1</m:t>
        </m:r>
        <m:r>
          <m:t>B</m:t>
        </m:r>
        <m:r>
          <m:t>a</m:t>
        </m:r>
        <m:r>
          <m:t>n</m:t>
        </m:r>
        <m:r>
          <m:t>n</m:t>
        </m:r>
        <m:r>
          <m:t>u</m:t>
        </m:r>
        <m:r>
          <m:t>a</m:t>
        </m:r>
        <m:r>
          <m:t>l</m:t>
        </m:r>
        <m:r>
          <m:t>t</m:t>
        </m:r>
        <m:r>
          <m:t>a</m:t>
        </m:r>
        <m:r>
          <m:t>r</m:t>
        </m:r>
        <m:r>
          <m:t>g</m:t>
        </m:r>
        <m:r>
          <m:t>e</m:t>
        </m:r>
        <m:r>
          <m:t>t</m:t>
        </m:r>
        <m:r>
          <m:rPr>
            <m:sty m:val="p"/>
          </m:rPr>
          <m:t>)</m:t>
        </m:r>
        <m:r>
          <m:t>g</m:t>
        </m:r>
        <m:r>
          <m:t>i</m:t>
        </m:r>
        <m:r>
          <m:t>v</m:t>
        </m:r>
        <m:r>
          <m:t>e</m:t>
        </m:r>
        <m:r>
          <m:t>n</m:t>
        </m:r>
        <m:r>
          <m:t>t</m:t>
        </m:r>
        <m:r>
          <m:t>h</m:t>
        </m:r>
        <m:r>
          <m:t>e</m:t>
        </m:r>
        <m:r>
          <m:t>s</m:t>
        </m:r>
        <m:r>
          <m:t>t</m:t>
        </m:r>
        <m:r>
          <m:t>o</m:t>
        </m:r>
        <m:r>
          <m:t>c</m:t>
        </m:r>
        <m:sSup>
          <m:e>
            <m:r>
              <m:t>k</m:t>
            </m:r>
          </m:e>
          <m:sup>
            <m:r>
              <m:rPr>
                <m:sty m:val="p"/>
              </m:rPr>
              <m:t>′</m:t>
            </m:r>
          </m:sup>
        </m:sSup>
        <m:r>
          <m:t>s</m:t>
        </m:r>
        <m:r>
          <m:t>d</m:t>
        </m:r>
        <m:r>
          <m:t>i</m:t>
        </m:r>
        <m:r>
          <m:t>s</m:t>
        </m:r>
        <m:r>
          <m:t>c</m:t>
        </m:r>
        <m:r>
          <m:t>o</m:t>
        </m:r>
        <m:r>
          <m:t>u</m:t>
        </m:r>
        <m:r>
          <m:t>n</m:t>
        </m:r>
        <m:r>
          <m:t>t</m:t>
        </m:r>
        <m:r>
          <m:t>t</m:t>
        </m:r>
        <m:r>
          <m:t>o</m:t>
        </m:r>
        <m:r>
          <m:t>r</m:t>
        </m:r>
        <m:r>
          <m:t>e</m:t>
        </m:r>
        <m:r>
          <m:t>c</m:t>
        </m:r>
        <m:r>
          <m:t>e</m:t>
        </m:r>
        <m:r>
          <m:t>n</m:t>
        </m:r>
        <m:r>
          <m:t>t</m:t>
        </m:r>
        <m:r>
          <m:t>h</m:t>
        </m:r>
        <m:r>
          <m:t>i</m:t>
        </m:r>
        <m:r>
          <m:t>g</m:t>
        </m:r>
        <m:r>
          <m:t>h</m:t>
        </m:r>
        <m:r>
          <m:t>s</m:t>
        </m:r>
        <m:r>
          <m:rPr>
            <m:sty m:val="p"/>
          </m:rPr>
          <m:t>.</m:t>
        </m:r>
        <m:r>
          <m:t>R</m:t>
        </m:r>
        <m:r>
          <m:t>e</m:t>
        </m:r>
        <m:r>
          <m:t>a</m:t>
        </m:r>
        <m:r>
          <m:t>f</m:t>
        </m:r>
        <m:r>
          <m:t>f</m:t>
        </m:r>
        <m:r>
          <m:t>i</m:t>
        </m:r>
        <m:r>
          <m:t>r</m:t>
        </m:r>
        <m:r>
          <m:t>m</m:t>
        </m:r>
        <m:r>
          <m:t>a</m:t>
        </m:r>
        <m:r>
          <m:t>t</m:t>
        </m:r>
        <m:r>
          <m:t>i</m:t>
        </m:r>
        <m:r>
          <m:t>o</m:t>
        </m:r>
        <m:r>
          <m:t>n</m:t>
        </m:r>
        <m:r>
          <m:rPr>
            <m:sty m:val="p"/>
          </m:rPr>
          <m:t>—</m:t>
        </m:r>
        <m:r>
          <m:t>r</m:t>
        </m:r>
        <m:r>
          <m:t>a</m:t>
        </m:r>
        <m:r>
          <m:t>t</m:t>
        </m:r>
        <m:r>
          <m:t>h</m:t>
        </m:r>
        <m:r>
          <m:t>e</m:t>
        </m:r>
        <m:r>
          <m:t>r</m:t>
        </m:r>
        <m:r>
          <m:t>t</m:t>
        </m:r>
        <m:r>
          <m:t>h</m:t>
        </m:r>
        <m:r>
          <m:t>a</m:t>
        </m:r>
        <m:r>
          <m:t>n</m:t>
        </m:r>
        <m:r>
          <m:t>a</m:t>
        </m:r>
        <m:r>
          <m:t>r</m:t>
        </m:r>
        <m:r>
          <m:t>a</m:t>
        </m:r>
        <m:r>
          <m:t>i</m:t>
        </m:r>
        <m:r>
          <m:t>s</m:t>
        </m:r>
        <m:r>
          <m:t>e</m:t>
        </m:r>
        <m:r>
          <m:rPr>
            <m:sty m:val="p"/>
          </m:rPr>
          <m:t>—</m:t>
        </m:r>
        <m:r>
          <m:t>o</m:t>
        </m:r>
        <m:r>
          <m:t>f</m:t>
        </m:r>
        <m:r>
          <m:t>f</m:t>
        </m:r>
        <m:r>
          <m:t>u</m:t>
        </m:r>
        <m:r>
          <m:t>l</m:t>
        </m:r>
        <m:r>
          <m:t>l</m:t>
        </m:r>
        <m:r>
          <m:rPr>
            <m:sty m:val="p"/>
          </m:rPr>
          <m:t>−</m:t>
        </m:r>
        <m:r>
          <m:t>y</m:t>
        </m:r>
        <m:r>
          <m:t>e</m:t>
        </m:r>
        <m:r>
          <m:t>a</m:t>
        </m:r>
        <m:r>
          <m:t>r</m:t>
        </m:r>
        <m:r>
          <m:t>E</m:t>
        </m:r>
        <m:r>
          <m:t>P</m:t>
        </m:r>
        <m:r>
          <m:t>S</m:t>
        </m:r>
        <m:r>
          <m:t>g</m:t>
        </m:r>
        <m:r>
          <m:t>u</m:t>
        </m:r>
        <m:r>
          <m:t>i</m:t>
        </m:r>
        <m:r>
          <m:t>d</m:t>
        </m:r>
        <m:r>
          <m:t>a</m:t>
        </m:r>
        <m:r>
          <m:t>n</m:t>
        </m:r>
        <m:r>
          <m:t>c</m:t>
        </m:r>
        <m:r>
          <m:t>e</m:t>
        </m:r>
        <m:r>
          <m:rPr>
            <m:sty m:val="p"/>
          </m:rPr>
          <m:t>(</m:t>
        </m:r>
      </m:oMath>
      <w:r>
        <w:t xml:space="preserve">5.35–$5.60) would likely be viewed as a satisfactory, if unspectacular, outcome given how cautiously the buy-side and sell-side have positioned into the print.</w:t>
      </w:r>
    </w:p>
    <w:bookmarkEnd w:id="14"/>
    <w:bookmarkEnd w:id="1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2026-07-28T00:38:50Z</dcterms:created>
  <dcterms:modified xsi:type="dcterms:W3CDTF">2026-07-28T00:38:50Z</dcterms:modified>
</cp:coreProperties>
</file>

<file path=docProps/custom.xml><?xml version="1.0" encoding="utf-8"?>
<Properties xmlns="http://schemas.openxmlformats.org/officeDocument/2006/custom-properties" xmlns:vt="http://schemas.openxmlformats.org/officeDocument/2006/docPropsVTypes"/>
</file>