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0" w:name="xylem-nyse-xyl--q2-2026-earnings-preview"/>
    <w:p>
      <w:pPr>
        <w:pStyle w:val="Heading1"/>
      </w:pPr>
      <w:r>
        <w:t xml:space="preserve">Xylem (NYSE: XYL) — Q2 2026 Earnings Preview</w:t>
      </w:r>
    </w:p>
    <w:p>
      <w:pPr>
        <w:pStyle w:val="BlockText"/>
      </w:pPr>
      <w:r>
        <w:rPr>
          <w:b/>
          <w:bCs/>
        </w:rPr>
        <w:t xml:space="preserve">Timing note:</w:t>
      </w:r>
      <w:r>
        <w:t xml:space="preserve"> </w:t>
      </w:r>
      <w:r>
        <w:t xml:space="preserve">Xylem scheduled its Q2 results for</w:t>
      </w:r>
      <w:r>
        <w:t xml:space="preserve"> </w:t>
      </w:r>
      <w:r>
        <w:rPr>
          <w:b/>
          <w:bCs/>
        </w:rPr>
        <w:t xml:space="preserve">6:55 a.m. ET on Tuesday, July 28, 2026</w:t>
      </w:r>
      <w:r>
        <w:t xml:space="preserve">, followed by the earnings call at</w:t>
      </w:r>
      <w:r>
        <w:t xml:space="preserve"> </w:t>
      </w:r>
      <w:r>
        <w:rPr>
          <w:b/>
          <w:bCs/>
        </w:rPr>
        <w:t xml:space="preserve">9:00 a.m. ET</w:t>
      </w:r>
      <w:r>
        <w:t xml:space="preserve">. July 28 is today, rather than tomorrow. This preview treats the report as still pending. (</w:t>
      </w:r>
      <w:hyperlink r:id="rId9">
        <w:r>
          <w:rPr>
            <w:rStyle w:val="Hyperlink"/>
          </w:rPr>
          <w:t xml:space="preserve">xyleminc.gcs-web.com</w:t>
        </w:r>
      </w:hyperlink>
      <w:r>
        <w:t xml:space="preserve">)</w:t>
      </w:r>
    </w:p>
    <w:bookmarkStart w:id="11" w:name="the-setup"/>
    <w:p>
      <w:pPr>
        <w:pStyle w:val="Heading2"/>
      </w:pPr>
      <w:r>
        <w:t xml:space="preserve">The setup</w:t>
      </w:r>
    </w:p>
    <w:p>
      <w:pPr>
        <w:pStyle w:val="FirstParagraph"/>
      </w:pPr>
      <w:r>
        <w:t xml:space="preserve">Xylem enters Q2 with resilient municipal and utility demand, improving operational execution, and a healthy backlog—but also subdued near-term organic growth, difficult comparisons, China weakness, and a margin plan that becomes more demanding in the second half.</w:t>
      </w:r>
    </w:p>
    <w:p>
      <w:pPr>
        <w:pStyle w:val="BodyText"/>
      </w:pPr>
      <w:r>
        <w:t xml:space="preserve">The headline numbers should be relatively straightforward because management issued explicit Q2 guidance: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Q2 metric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Company guidance / consensus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Q2 2025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2.35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2.37B implied by 2%–3% reported growth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$2.301B</w:t>
            </w:r>
          </w:p>
        </w:tc>
      </w:tr>
      <w:tr>
        <w:tc>
          <w:tcPr/>
          <w:p>
            <w:pPr>
              <w:pStyle w:val="Compact"/>
            </w:pPr>
            <w:r>
              <w:t xml:space="preserve">Organic revenue growth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Approximately 1%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6%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EBITDA margin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22.0%–22.5%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21.8%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1.31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1.36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$1.26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Street EPS consensus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Approximately $1.34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—</w:t>
            </w:r>
          </w:p>
        </w:tc>
      </w:tr>
    </w:tbl>
    <w:p>
      <w:pPr>
        <w:pStyle w:val="BodyText"/>
      </w:pPr>
      <w:r>
        <w:t xml:space="preserve">The consensus EPS estimate sits near the midpoint of guidance, while published revenue estimates are roughly $2.35 billion to $2.37 billion. In other words, merely landing at consensus may not be enough to materially improve sentiment; the forward outlook and segment commentary are likely to drive the stock. (</w:t>
      </w:r>
      <w:hyperlink r:id="rId10">
        <w:r>
          <w:rPr>
            <w:rStyle w:val="Hyperlink"/>
          </w:rPr>
          <w:t xml:space="preserve">xyleminc.gcs-web.com</w:t>
        </w:r>
      </w:hyperlink>
      <w:r>
        <w:t xml:space="preserve">)</w:t>
      </w:r>
    </w:p>
    <w:bookmarkEnd w:id="11"/>
    <w:bookmarkStart w:id="16" w:name="what-matters-most"/>
    <w:p>
      <w:pPr>
        <w:pStyle w:val="Heading2"/>
      </w:pPr>
      <w:r>
        <w:t xml:space="preserve">What matters most</w:t>
      </w:r>
    </w:p>
    <w:bookmarkStart w:id="12" w:name="X025fcc864031432f94c0f3e60aebd853a836ad6"/>
    <w:p>
      <w:pPr>
        <w:pStyle w:val="Heading3"/>
      </w:pPr>
      <w:r>
        <w:t xml:space="preserve">1. Organic orders—not just reported revenue</w:t>
      </w:r>
    </w:p>
    <w:p>
      <w:pPr>
        <w:pStyle w:val="FirstParagraph"/>
      </w:pPr>
      <w:r>
        <w:t xml:space="preserve">Q1 orders increased 3% as reported but were flat organically, while revenue was also flat organically. Backlog nevertheless reached approximately</w:t>
      </w:r>
      <w:r>
        <w:t xml:space="preserve"> </w:t>
      </w:r>
      <w:r>
        <w:rPr>
          <w:b/>
          <w:bCs/>
        </w:rPr>
        <w:t xml:space="preserve">$4.7 billion</w:t>
      </w:r>
      <w:r>
        <w:t xml:space="preserve">, and companywide book-to-bill exceeded 1.</w:t>
      </w:r>
    </w:p>
    <w:p>
      <w:pPr>
        <w:pStyle w:val="BodyText"/>
      </w:pPr>
      <w:r>
        <w:t xml:space="preserve">The composition was mixed: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Measurement and Control Solutions, or MCS:</w:t>
      </w:r>
      <w:r>
        <w:t xml:space="preserve"> </w:t>
      </w:r>
      <w:r>
        <w:t xml:space="preserve">organic orders rose 15%.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Water Infrastructure:</w:t>
      </w:r>
      <w:r>
        <w:t xml:space="preserve"> </w:t>
      </w:r>
      <w:r>
        <w:t xml:space="preserve">organic orders rose 2%.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Applied Water:</w:t>
      </w:r>
      <w:r>
        <w:t xml:space="preserve"> </w:t>
      </w:r>
      <w:r>
        <w:t xml:space="preserve">organic orders rose 2%.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Water Solutions and Services, or WSS:</w:t>
      </w:r>
      <w:r>
        <w:t xml:space="preserve"> </w:t>
      </w:r>
      <w:r>
        <w:t xml:space="preserve">organic orders fell 15% because of project timing.</w:t>
      </w:r>
    </w:p>
    <w:p>
      <w:pPr>
        <w:pStyle w:val="FirstParagraph"/>
      </w:pPr>
      <w:r>
        <w:t xml:space="preserve">Investors should focus on whether the Q1 MCS strength continued and whether WSS orders normalized. Healthy consolidated organic orders—particularly another positive book-to-bill—would support management’s expected second-half acceleration.</w:t>
      </w:r>
    </w:p>
    <w:p>
      <w:pPr>
        <w:pStyle w:val="BodyText"/>
      </w:pPr>
      <w:r>
        <w:t xml:space="preserve">The most important recent booking was WSS’s</w:t>
      </w:r>
      <w:r>
        <w:t xml:space="preserve"> </w:t>
      </w:r>
      <w:r>
        <w:rPr>
          <w:b/>
          <w:bCs/>
        </w:rPr>
        <w:t xml:space="preserve">$850 million, 20-year outsourced-water contract</w:t>
      </w:r>
      <w:r>
        <w:t xml:space="preserve">, the company’s largest order ever. Approximately 75% of the contract value is service revenue and 25% is capital work; management previously expected about 10% of the total contract value to be recognized during 2026. The order is strategically attractive, but investors should distinguish its long-duration backlog value from its immediate earnings contribution.</w:t>
      </w:r>
    </w:p>
    <w:bookmarkEnd w:id="12"/>
    <w:bookmarkStart w:id="13" w:name="X87522b63a718cfd9fab2b55fd3daf4b714f5b9d"/>
    <w:p>
      <w:pPr>
        <w:pStyle w:val="Heading3"/>
      </w:pPr>
      <w:r>
        <w:t xml:space="preserve">2. MCS margin trajectory</w:t>
      </w:r>
    </w:p>
    <w:p>
      <w:pPr>
        <w:pStyle w:val="FirstParagraph"/>
      </w:pPr>
      <w:r>
        <w:t xml:space="preserve">MCS may be the quarter’s most important segment.</w:t>
      </w:r>
    </w:p>
    <w:p>
      <w:pPr>
        <w:pStyle w:val="BodyText"/>
      </w:pPr>
      <w:r>
        <w:t xml:space="preserve">Q1 MCS revenue grew only 1% organically despite 15% order growth, and adjusted EBITDA margin declined slightly because of unfavorable mix and inflation. Management guided to another year-over-year margin decline in Q2, though with sequential improvement from Q1.</w:t>
      </w:r>
    </w:p>
    <w:p>
      <w:pPr>
        <w:pStyle w:val="BodyText"/>
      </w:pPr>
      <w:r>
        <w:t xml:space="preserve">The critical questions are:</w:t>
      </w:r>
    </w:p>
    <w:p>
      <w:pPr>
        <w:pStyle w:val="Compact"/>
        <w:numPr>
          <w:ilvl w:val="0"/>
          <w:numId w:val="1002"/>
        </w:numPr>
      </w:pPr>
      <w:r>
        <w:t xml:space="preserve">Did delayed smart-water projects convert into revenue as expected?</w:t>
      </w:r>
    </w:p>
    <w:p>
      <w:pPr>
        <w:pStyle w:val="Compact"/>
        <w:numPr>
          <w:ilvl w:val="0"/>
          <w:numId w:val="1002"/>
        </w:numPr>
      </w:pPr>
      <w:r>
        <w:t xml:space="preserve">Is the energy-metering mix pressure beginning to moderate?</w:t>
      </w:r>
    </w:p>
    <w:p>
      <w:pPr>
        <w:pStyle w:val="Compact"/>
        <w:numPr>
          <w:ilvl w:val="0"/>
          <w:numId w:val="1002"/>
        </w:numPr>
      </w:pPr>
      <w:r>
        <w:t xml:space="preserve">Has the international metering divestiture closed?</w:t>
      </w:r>
    </w:p>
    <w:p>
      <w:pPr>
        <w:pStyle w:val="Compact"/>
        <w:numPr>
          <w:ilvl w:val="0"/>
          <w:numId w:val="1002"/>
        </w:numPr>
      </w:pPr>
      <w:r>
        <w:t xml:space="preserve">Does management still expect MCS to return to margin expansion during the second half?</w:t>
      </w:r>
    </w:p>
    <w:p>
      <w:pPr>
        <w:pStyle w:val="Compact"/>
        <w:numPr>
          <w:ilvl w:val="0"/>
          <w:numId w:val="1002"/>
        </w:numPr>
      </w:pPr>
      <w:r>
        <w:t xml:space="preserve">Is the segment still positioned to exit 2026 at an adjusted EBITDA margin comfortably above 25%?</w:t>
      </w:r>
    </w:p>
    <w:p>
      <w:pPr>
        <w:pStyle w:val="FirstParagraph"/>
      </w:pPr>
      <w:r>
        <w:t xml:space="preserve">The full-year margin plan depends partly on MCS shifting from price-led growth toward stronger volume and a more favorable mix. A weak Q2 margin would be manageable if management reiterates a credible second-half ramp. A weak margin combined with softer orders or delayed project conversion would be more concerning.</w:t>
      </w:r>
    </w:p>
    <w:bookmarkEnd w:id="13"/>
    <w:bookmarkStart w:id="14" w:name="Xb39d02c33fad504cacf1deb183a607f81fa0b45"/>
    <w:p>
      <w:pPr>
        <w:pStyle w:val="Heading3"/>
      </w:pPr>
      <w:r>
        <w:t xml:space="preserve">3. Evidence that the second-half acceleration remains intact</w:t>
      </w:r>
    </w:p>
    <w:p>
      <w:pPr>
        <w:pStyle w:val="FirstParagraph"/>
      </w:pPr>
      <w:r>
        <w:t xml:space="preserve">Xylem maintained full-year organic growth guidance of</w:t>
      </w:r>
      <w:r>
        <w:t xml:space="preserve"> </w:t>
      </w:r>
      <w:r>
        <w:rPr>
          <w:b/>
          <w:bCs/>
        </w:rPr>
        <w:t xml:space="preserve">2%–4%</w:t>
      </w:r>
      <w:r>
        <w:t xml:space="preserve"> </w:t>
      </w:r>
      <w:r>
        <w:t xml:space="preserve">after reporting flat organic growth in Q1 and guiding to approximately 1% in Q2. Management’s prior commentary implied a significant step-up during the second half, supported by:</w:t>
      </w:r>
    </w:p>
    <w:p>
      <w:pPr>
        <w:pStyle w:val="Compact"/>
        <w:numPr>
          <w:ilvl w:val="0"/>
          <w:numId w:val="1003"/>
        </w:numPr>
      </w:pPr>
      <w:r>
        <w:t xml:space="preserve">MCS project conversion;</w:t>
      </w:r>
    </w:p>
    <w:p>
      <w:pPr>
        <w:pStyle w:val="Compact"/>
        <w:numPr>
          <w:ilvl w:val="0"/>
          <w:numId w:val="1003"/>
        </w:numPr>
      </w:pPr>
      <w:r>
        <w:t xml:space="preserve">normal seasonal strength;</w:t>
      </w:r>
    </w:p>
    <w:p>
      <w:pPr>
        <w:pStyle w:val="Compact"/>
        <w:numPr>
          <w:ilvl w:val="0"/>
          <w:numId w:val="1003"/>
        </w:numPr>
      </w:pPr>
      <w:r>
        <w:t xml:space="preserve">easier China comparisons;</w:t>
      </w:r>
    </w:p>
    <w:p>
      <w:pPr>
        <w:pStyle w:val="Compact"/>
        <w:numPr>
          <w:ilvl w:val="0"/>
          <w:numId w:val="1003"/>
        </w:numPr>
      </w:pPr>
      <w:r>
        <w:t xml:space="preserve">diminishing revenue drag from product and customer “walkaway” actions;</w:t>
      </w:r>
    </w:p>
    <w:p>
      <w:pPr>
        <w:pStyle w:val="Compact"/>
        <w:numPr>
          <w:ilvl w:val="0"/>
          <w:numId w:val="1003"/>
        </w:numPr>
      </w:pPr>
      <w:r>
        <w:t xml:space="preserve">higher Water Infrastructure volumes; and</w:t>
      </w:r>
    </w:p>
    <w:p>
      <w:pPr>
        <w:pStyle w:val="Compact"/>
        <w:numPr>
          <w:ilvl w:val="0"/>
          <w:numId w:val="1003"/>
        </w:numPr>
      </w:pPr>
      <w:r>
        <w:t xml:space="preserve">data-center project activity in Applied Water.</w:t>
      </w:r>
    </w:p>
    <w:p>
      <w:pPr>
        <w:pStyle w:val="FirstParagraph"/>
      </w:pPr>
      <w:r>
        <w:t xml:space="preserve">That creates a clear burden of proof. Investors need to hear that backlog conversion and current order trends still support the second-half plan. Any reduction in organic growth guidance would likely matter more than a few cents of Q2 EPS upside.</w:t>
      </w:r>
    </w:p>
    <w:bookmarkEnd w:id="14"/>
    <w:bookmarkStart w:id="15" w:name="X44ef9d2e57cee7f1b88b71f8d28b1f6b4259061"/>
    <w:p>
      <w:pPr>
        <w:pStyle w:val="Heading3"/>
      </w:pPr>
      <w:r>
        <w:t xml:space="preserve">4. Margin quality and price/cost</w:t>
      </w:r>
    </w:p>
    <w:p>
      <w:pPr>
        <w:pStyle w:val="FirstParagraph"/>
      </w:pPr>
      <w:r>
        <w:t xml:space="preserve">Q1 adjusted EBITDA margin expanded only 20 basis points to 20.6%, as productivity and pricing offset inflation, lower volume, and adverse mix. For Q2, management expects 20–70 basis points of expansion.</w:t>
      </w:r>
    </w:p>
    <w:p>
      <w:pPr>
        <w:pStyle w:val="BodyText"/>
      </w:pPr>
      <w:r>
        <w:t xml:space="preserve">Key indicators include:</w:t>
      </w:r>
    </w:p>
    <w:p>
      <w:pPr>
        <w:pStyle w:val="Compact"/>
        <w:numPr>
          <w:ilvl w:val="0"/>
          <w:numId w:val="1004"/>
        </w:numPr>
      </w:pPr>
      <w:r>
        <w:t xml:space="preserve">Whether price remains ahead of material and tariff inflation;</w:t>
      </w:r>
    </w:p>
    <w:p>
      <w:pPr>
        <w:pStyle w:val="Compact"/>
        <w:numPr>
          <w:ilvl w:val="0"/>
          <w:numId w:val="1004"/>
        </w:numPr>
      </w:pPr>
      <w:r>
        <w:t xml:space="preserve">The contribution from structural productivity rather than temporary pricing;</w:t>
      </w:r>
    </w:p>
    <w:p>
      <w:pPr>
        <w:pStyle w:val="Compact"/>
        <w:numPr>
          <w:ilvl w:val="0"/>
          <w:numId w:val="1004"/>
        </w:numPr>
      </w:pPr>
      <w:r>
        <w:t xml:space="preserve">Applied Water’s recovery toward margins above 20%;</w:t>
      </w:r>
    </w:p>
    <w:p>
      <w:pPr>
        <w:pStyle w:val="Compact"/>
        <w:numPr>
          <w:ilvl w:val="0"/>
          <w:numId w:val="1004"/>
        </w:numPr>
      </w:pPr>
      <w:r>
        <w:t xml:space="preserve">Whether Water Infrastructure continues to benefit from simplification and portfolio actions; and</w:t>
      </w:r>
    </w:p>
    <w:p>
      <w:pPr>
        <w:pStyle w:val="Compact"/>
        <w:numPr>
          <w:ilvl w:val="0"/>
          <w:numId w:val="1004"/>
        </w:numPr>
      </w:pPr>
      <w:r>
        <w:t xml:space="preserve">The amount of restructuring still needed to deliver the 2026 margin target.</w:t>
      </w:r>
    </w:p>
    <w:p>
      <w:pPr>
        <w:pStyle w:val="FirstParagraph"/>
      </w:pPr>
      <w:r>
        <w:t xml:space="preserve">The high end of full-year guidance calls for meaningful second-half margin expansion. Investors should therefore look beyond Q2’s reported margin and assess whether the underlying bridge—volume, mix, productivity and price—is developing as planned.</w:t>
      </w:r>
    </w:p>
    <w:bookmarkEnd w:id="15"/>
    <w:bookmarkEnd w:id="16"/>
    <w:bookmarkStart w:id="21" w:name="segment-checklist"/>
    <w:p>
      <w:pPr>
        <w:pStyle w:val="Heading2"/>
      </w:pPr>
      <w:r>
        <w:t xml:space="preserve">Segment checklist</w:t>
      </w:r>
    </w:p>
    <w:bookmarkStart w:id="17" w:name="measurement-and-control-solutions"/>
    <w:p>
      <w:pPr>
        <w:pStyle w:val="Heading3"/>
      </w:pPr>
      <w:r>
        <w:t xml:space="preserve">Measurement and Control Solutions</w:t>
      </w:r>
    </w:p>
    <w:p>
      <w:pPr>
        <w:pStyle w:val="FirstParagraph"/>
      </w:pPr>
      <w:r>
        <w:rPr>
          <w:b/>
          <w:bCs/>
        </w:rPr>
        <w:t xml:space="preserve">What would be encouraging:</w:t>
      </w:r>
    </w:p>
    <w:p>
      <w:pPr>
        <w:pStyle w:val="Compact"/>
        <w:numPr>
          <w:ilvl w:val="0"/>
          <w:numId w:val="1005"/>
        </w:numPr>
      </w:pPr>
      <w:r>
        <w:t xml:space="preserve">Continued double-digit water-meter orders;</w:t>
      </w:r>
    </w:p>
    <w:p>
      <w:pPr>
        <w:pStyle w:val="Compact"/>
        <w:numPr>
          <w:ilvl w:val="0"/>
          <w:numId w:val="1005"/>
        </w:numPr>
      </w:pPr>
      <w:r>
        <w:t xml:space="preserve">Better smart-meter project conversion;</w:t>
      </w:r>
    </w:p>
    <w:p>
      <w:pPr>
        <w:pStyle w:val="Compact"/>
        <w:numPr>
          <w:ilvl w:val="0"/>
          <w:numId w:val="1005"/>
        </w:numPr>
      </w:pPr>
      <w:r>
        <w:t xml:space="preserve">Sequential margin improvement;</w:t>
      </w:r>
    </w:p>
    <w:p>
      <w:pPr>
        <w:pStyle w:val="Compact"/>
        <w:numPr>
          <w:ilvl w:val="0"/>
          <w:numId w:val="1005"/>
        </w:numPr>
      </w:pPr>
      <w:r>
        <w:t xml:space="preserve">Confirmation of second-half margin expansion;</w:t>
      </w:r>
    </w:p>
    <w:p>
      <w:pPr>
        <w:pStyle w:val="Compact"/>
        <w:numPr>
          <w:ilvl w:val="0"/>
          <w:numId w:val="1005"/>
        </w:numPr>
      </w:pPr>
      <w:r>
        <w:t xml:space="preserve">Progress completing the international metering divestiture.</w:t>
      </w:r>
    </w:p>
    <w:p>
      <w:pPr>
        <w:pStyle w:val="FirstParagraph"/>
      </w:pPr>
      <w:r>
        <w:rPr>
          <w:b/>
          <w:bCs/>
        </w:rPr>
        <w:t xml:space="preserve">Risks:</w:t>
      </w:r>
    </w:p>
    <w:p>
      <w:pPr>
        <w:pStyle w:val="Compact"/>
        <w:numPr>
          <w:ilvl w:val="0"/>
          <w:numId w:val="1006"/>
        </w:numPr>
      </w:pPr>
      <w:r>
        <w:t xml:space="preserve">Continued energy-metering mix pressure;</w:t>
      </w:r>
    </w:p>
    <w:p>
      <w:pPr>
        <w:pStyle w:val="Compact"/>
        <w:numPr>
          <w:ilvl w:val="0"/>
          <w:numId w:val="1006"/>
        </w:numPr>
      </w:pPr>
      <w:r>
        <w:t xml:space="preserve">Project delays;</w:t>
      </w:r>
    </w:p>
    <w:p>
      <w:pPr>
        <w:pStyle w:val="Compact"/>
        <w:numPr>
          <w:ilvl w:val="0"/>
          <w:numId w:val="1006"/>
        </w:numPr>
      </w:pPr>
      <w:r>
        <w:t xml:space="preserve">Orders remaining below revenue;</w:t>
      </w:r>
    </w:p>
    <w:p>
      <w:pPr>
        <w:pStyle w:val="Compact"/>
        <w:numPr>
          <w:ilvl w:val="0"/>
          <w:numId w:val="1006"/>
        </w:numPr>
      </w:pPr>
      <w:r>
        <w:t xml:space="preserve">A lower expected exit-margin run rate.</w:t>
      </w:r>
    </w:p>
    <w:bookmarkEnd w:id="17"/>
    <w:bookmarkStart w:id="18" w:name="water-infrastructure"/>
    <w:p>
      <w:pPr>
        <w:pStyle w:val="Heading3"/>
      </w:pPr>
      <w:r>
        <w:t xml:space="preserve">Water Infrastructure</w:t>
      </w:r>
    </w:p>
    <w:p>
      <w:pPr>
        <w:pStyle w:val="FirstParagraph"/>
      </w:pPr>
      <w:r>
        <w:t xml:space="preserve">Demand has been supported by U.S. and Indian transport activity, but China and Western Europe have been weak. China revenue was down approximately 30% in Q1, with management attributing the pressure to a mix of market weakness, competitive behavior, and deliberate business walkaways.</w:t>
      </w:r>
    </w:p>
    <w:p>
      <w:pPr>
        <w:pStyle w:val="BodyText"/>
      </w:pPr>
      <w:r>
        <w:t xml:space="preserve">Watch for signs that China has stabilized and that the impact becomes easier in the second half. Continued margin expansion despite modest revenue growth would support the transformation thesis.</w:t>
      </w:r>
    </w:p>
    <w:bookmarkEnd w:id="18"/>
    <w:bookmarkStart w:id="19" w:name="applied-water"/>
    <w:p>
      <w:pPr>
        <w:pStyle w:val="Heading3"/>
      </w:pPr>
      <w:r>
        <w:t xml:space="preserve">Applied Water</w:t>
      </w:r>
    </w:p>
    <w:p>
      <w:pPr>
        <w:pStyle w:val="FirstParagraph"/>
      </w:pPr>
      <w:r>
        <w:t xml:space="preserve">Applied Water had strong project bookings in Q1, including</w:t>
      </w:r>
      <w:r>
        <w:t xml:space="preserve"> </w:t>
      </w:r>
      <w:r>
        <w:rPr>
          <w:b/>
          <w:bCs/>
        </w:rPr>
        <w:t xml:space="preserve">data-center orders exceeding the segment’s entire 2025 data-center order total</w:t>
      </w:r>
      <w:r>
        <w:t xml:space="preserve">. However, Q1 profitability was below management’s expectations because of mix.</w:t>
      </w:r>
    </w:p>
    <w:p>
      <w:pPr>
        <w:pStyle w:val="BodyText"/>
      </w:pPr>
      <w:r>
        <w:t xml:space="preserve">Q2 should provide the first evidence that those projects can translate into higher-quality revenue. Investors should listen for data-center backlog, shipment timing, and whether management still expects margins above 20% over the balance of the year.</w:t>
      </w:r>
    </w:p>
    <w:bookmarkEnd w:id="19"/>
    <w:bookmarkStart w:id="20" w:name="water-solutions-and-services"/>
    <w:p>
      <w:pPr>
        <w:pStyle w:val="Heading3"/>
      </w:pPr>
      <w:r>
        <w:t xml:space="preserve">Water Solutions and Services</w:t>
      </w:r>
    </w:p>
    <w:p>
      <w:pPr>
        <w:pStyle w:val="FirstParagraph"/>
      </w:pPr>
      <w:r>
        <w:t xml:space="preserve">WSS’s underlying service model provides recurring revenue and attractive long-term economics, but capital-project timing can make quarterly orders volatile.</w:t>
      </w:r>
    </w:p>
    <w:p>
      <w:pPr>
        <w:pStyle w:val="BodyText"/>
      </w:pPr>
      <w:r>
        <w:t xml:space="preserve">The focus should be:</w:t>
      </w:r>
    </w:p>
    <w:p>
      <w:pPr>
        <w:pStyle w:val="Compact"/>
        <w:numPr>
          <w:ilvl w:val="0"/>
          <w:numId w:val="1007"/>
        </w:numPr>
      </w:pPr>
      <w:r>
        <w:t xml:space="preserve">Order normalization after Q1’s decline;</w:t>
      </w:r>
    </w:p>
    <w:p>
      <w:pPr>
        <w:pStyle w:val="Compact"/>
        <w:numPr>
          <w:ilvl w:val="0"/>
          <w:numId w:val="1007"/>
        </w:numPr>
      </w:pPr>
      <w:r>
        <w:t xml:space="preserve">Near-term contribution from the $850 million contract;</w:t>
      </w:r>
    </w:p>
    <w:p>
      <w:pPr>
        <w:pStyle w:val="Compact"/>
        <w:numPr>
          <w:ilvl w:val="0"/>
          <w:numId w:val="1007"/>
        </w:numPr>
      </w:pPr>
      <w:r>
        <w:t xml:space="preserve">Service-branch performance after Q1 weather disruption;</w:t>
      </w:r>
    </w:p>
    <w:p>
      <w:pPr>
        <w:pStyle w:val="Compact"/>
        <w:numPr>
          <w:ilvl w:val="0"/>
          <w:numId w:val="1007"/>
        </w:numPr>
      </w:pPr>
      <w:r>
        <w:t xml:space="preserve">Dewatering demand; and</w:t>
      </w:r>
    </w:p>
    <w:p>
      <w:pPr>
        <w:pStyle w:val="Compact"/>
        <w:numPr>
          <w:ilvl w:val="0"/>
          <w:numId w:val="1007"/>
        </w:numPr>
      </w:pPr>
      <w:r>
        <w:t xml:space="preserve">The pipeline for additional outsourced-water contracts.</w:t>
      </w:r>
    </w:p>
    <w:bookmarkEnd w:id="20"/>
    <w:bookmarkEnd w:id="21"/>
    <w:bookmarkStart w:id="23" w:name="full-year-guidance-is-the-real-event"/>
    <w:p>
      <w:pPr>
        <w:pStyle w:val="Heading2"/>
      </w:pPr>
      <w:r>
        <w:t xml:space="preserve">Full-year guidance is the real event</w:t>
      </w:r>
    </w:p>
    <w:p>
      <w:pPr>
        <w:pStyle w:val="FirstParagraph"/>
      </w:pPr>
      <w:r>
        <w:t xml:space="preserve">Current company guidance is: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FY2026 metric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Guidance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9.2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9.3B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Reported growth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2%–3%</w:t>
            </w:r>
          </w:p>
        </w:tc>
      </w:tr>
      <w:tr>
        <w:tc>
          <w:tcPr/>
          <w:p>
            <w:pPr>
              <w:pStyle w:val="Compact"/>
            </w:pPr>
            <w:r>
              <w:t xml:space="preserve">Organic growth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2%–4%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EBITDA margin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22.9%–23.3%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5.35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5.60</w:t>
            </w:r>
          </w:p>
        </w:tc>
      </w:tr>
      <w:tr>
        <w:tc>
          <w:tcPr/>
          <w:p>
            <w:pPr>
              <w:pStyle w:val="Compact"/>
            </w:pPr>
            <w:r>
              <w:t xml:space="preserve">Free-cash-flow margin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10.2%–11.0%</w:t>
            </w:r>
          </w:p>
        </w:tc>
      </w:tr>
    </w:tbl>
    <w:p>
      <w:pPr>
        <w:pStyle w:val="BodyText"/>
      </w:pPr>
      <w:r>
        <w:t xml:space="preserve">Q1 revenue was $2.125 billion, adjusted EPS was $1.12, and adjusted EBITDA margin was 20.6%. The company also repurchased more than $560 million of stock during the quarter. (</w:t>
      </w:r>
      <w:hyperlink r:id="rId22">
        <w:r>
          <w:rPr>
            <w:rStyle w:val="Hyperlink"/>
          </w:rPr>
          <w:t xml:space="preserve">xyleminc.gcs-web.com</w:t>
        </w:r>
      </w:hyperlink>
      <w:r>
        <w:t xml:space="preserve">)</w:t>
      </w:r>
    </w:p>
    <w:p>
      <w:pPr>
        <w:pStyle w:val="BodyText"/>
      </w:pPr>
      <w:r>
        <w:t xml:space="preserve">The Street’s full-year EPS mean is approximately</w:t>
      </w:r>
      <w:r>
        <w:t xml:space="preserve"> </w:t>
      </w:r>
      <m:oMath>
        <m:r>
          <m:t>5.54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rPr>
            <m:sty m:val="p"/>
          </m:rPr>
          <m:t>,</m:t>
        </m:r>
        <m:r>
          <m:t>a</m:t>
        </m:r>
        <m:r>
          <m:t>l</m:t>
        </m:r>
        <m:r>
          <m:t>r</m:t>
        </m:r>
        <m:r>
          <m:t>e</m:t>
        </m:r>
        <m:r>
          <m:t>a</m:t>
        </m:r>
        <m:r>
          <m:t>d</m:t>
        </m:r>
        <m:r>
          <m:t>y</m:t>
        </m:r>
        <m:r>
          <m:t>n</m:t>
        </m:r>
        <m:r>
          <m:t>e</m:t>
        </m:r>
        <m:r>
          <m:t>a</m:t>
        </m:r>
        <m:r>
          <m:t>r</m:t>
        </m:r>
        <m:r>
          <m:t>t</m:t>
        </m:r>
        <m:r>
          <m:t>h</m:t>
        </m:r>
        <m:r>
          <m:t>e</m:t>
        </m:r>
        <m:r>
          <m:t>u</m:t>
        </m:r>
        <m:r>
          <m:t>p</m:t>
        </m:r>
        <m:r>
          <m:t>p</m:t>
        </m:r>
        <m:r>
          <m:t>e</m:t>
        </m:r>
        <m:r>
          <m:t>r</m:t>
        </m:r>
        <m:r>
          <m:t>h</m:t>
        </m:r>
        <m:r>
          <m:t>a</m:t>
        </m:r>
        <m:r>
          <m:t>l</m:t>
        </m:r>
        <m:r>
          <m:t>f</m:t>
        </m:r>
        <m:r>
          <m:t>o</m:t>
        </m:r>
        <m:r>
          <m:t>f</m:t>
        </m:r>
        <m:r>
          <m:t>m</m:t>
        </m:r>
        <m:r>
          <m:t>a</m:t>
        </m:r>
        <m:r>
          <m:t>n</m:t>
        </m:r>
        <m:r>
          <m:t>a</m:t>
        </m:r>
        <m:r>
          <m:t>g</m:t>
        </m:r>
        <m:r>
          <m:t>e</m:t>
        </m:r>
        <m:r>
          <m:t>m</m:t>
        </m:r>
        <m:r>
          <m:t>e</m:t>
        </m:r>
        <m:r>
          <m:t>n</m:t>
        </m:r>
        <m:r>
          <m:t>t</m:t>
        </m:r>
        <m:r>
          <m:rPr>
            <m:sty m:val="p"/>
          </m:rPr>
          <m:t>’</m:t>
        </m:r>
        <m:r>
          <m:t>s</m:t>
        </m:r>
        <m:r>
          <m:t>r</m:t>
        </m:r>
        <m:r>
          <m:t>a</m:t>
        </m:r>
        <m:r>
          <m:t>n</m:t>
        </m:r>
        <m:r>
          <m:t>g</m:t>
        </m:r>
        <m:r>
          <m:t>e</m:t>
        </m:r>
        <m:r>
          <m:rPr>
            <m:sty m:val="p"/>
          </m:rPr>
          <m:t>.</m:t>
        </m:r>
        <m:r>
          <m:t>A</m:t>
        </m:r>
        <m:r>
          <m:t>t</m:t>
        </m:r>
        <m:r>
          <m:t>X</m:t>
        </m:r>
        <m:r>
          <m:t>Y</m:t>
        </m:r>
        <m:r>
          <m:t>L</m:t>
        </m:r>
        <m:r>
          <m:rPr>
            <m:sty m:val="p"/>
          </m:rPr>
          <m:t>’</m:t>
        </m:r>
        <m:r>
          <m:t>s</m:t>
        </m:r>
        <m:r>
          <m:t>J</m:t>
        </m:r>
        <m:r>
          <m:t>u</m:t>
        </m:r>
        <m:r>
          <m:t>l</m:t>
        </m:r>
        <m:r>
          <m:t>y</m:t>
        </m:r>
        <m:r>
          <m:t>27</m:t>
        </m:r>
        <m:r>
          <m:t>c</m:t>
        </m:r>
        <m:r>
          <m:t>l</m:t>
        </m:r>
        <m:r>
          <m:t>o</m:t>
        </m:r>
        <m:r>
          <m:t>s</m:t>
        </m:r>
        <m:r>
          <m:t>i</m:t>
        </m:r>
        <m:r>
          <m:t>n</m:t>
        </m:r>
        <m:r>
          <m:t>g</m:t>
        </m:r>
        <m:r>
          <m:t>p</m:t>
        </m:r>
        <m:r>
          <m:t>r</m:t>
        </m:r>
        <m:r>
          <m:t>i</m:t>
        </m:r>
        <m:r>
          <m:t>c</m:t>
        </m:r>
        <m:r>
          <m:t>e</m:t>
        </m:r>
        <m:r>
          <m:t>o</m:t>
        </m:r>
        <m:r>
          <m:t>f</m:t>
        </m:r>
        <m:r>
          <m:rPr>
            <m:sty m:val="p"/>
          </m:rPr>
          <m:t>*</m:t>
        </m:r>
        <m:r>
          <m:rPr>
            <m:sty m:val="p"/>
          </m:rPr>
          <m:t>*</m:t>
        </m:r>
      </m:oMath>
      <w:r>
        <w:rPr>
          <w:b/>
          <w:bCs/>
        </w:rPr>
        <w:t xml:space="preserve">120.19</w:t>
      </w:r>
      <w:r>
        <w:t xml:space="preserve">, the stock trades around</w:t>
      </w:r>
      <w:r>
        <w:t xml:space="preserve"> </w:t>
      </w:r>
      <w:r>
        <w:rPr>
          <w:b/>
          <w:bCs/>
        </w:rPr>
        <w:t xml:space="preserve">21.7 times</w:t>
      </w:r>
      <w:r>
        <w:t xml:space="preserve"> </w:t>
      </w:r>
      <w:r>
        <w:t xml:space="preserve">that estimate. (</w:t>
      </w:r>
      <w:hyperlink r:id="rId10">
        <w:r>
          <w:rPr>
            <w:rStyle w:val="Hyperlink"/>
          </w:rPr>
          <w:t xml:space="preserve">xyleminc.gcs-web.com</w:t>
        </w:r>
      </w:hyperlink>
      <w:r>
        <w:t xml:space="preserve">)</w:t>
      </w:r>
    </w:p>
    <w:p>
      <w:pPr>
        <w:pStyle w:val="BodyText"/>
      </w:pPr>
      <w:r>
        <w:t xml:space="preserve">Consequently: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 simple guidance reiteration</w:t>
      </w:r>
      <w:r>
        <w:t xml:space="preserve"> </w:t>
      </w:r>
      <w:r>
        <w:t xml:space="preserve">may be viewed as adequate but not especially bullish.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 tighter range around the upper half</w:t>
      </w:r>
      <w:r>
        <w:t xml:space="preserve"> </w:t>
      </w:r>
      <w:r>
        <w:t xml:space="preserve">would indicate confidence in second-half conversion.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An EPS increase driven only by share repurchases</w:t>
      </w:r>
      <w:r>
        <w:t xml:space="preserve"> </w:t>
      </w:r>
      <w:r>
        <w:t xml:space="preserve">would be lower quality than one supported by organic growth and margins.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 reduction in revenue, organic growth, or margin guidance</w:t>
      </w:r>
      <w:r>
        <w:t xml:space="preserve"> </w:t>
      </w:r>
      <w:r>
        <w:t xml:space="preserve">would challenge the operating-transformation narrative.</w:t>
      </w:r>
    </w:p>
    <w:bookmarkEnd w:id="23"/>
    <w:bookmarkStart w:id="24" w:name="stock-setup"/>
    <w:p>
      <w:pPr>
        <w:pStyle w:val="Heading2"/>
      </w:pPr>
      <w:r>
        <w:t xml:space="preserve">Stock setup</w:t>
      </w:r>
    </w:p>
    <w:p>
      <w:pPr>
        <w:pStyle w:val="FirstParagraph"/>
      </w:pPr>
      <w:r>
        <w:t xml:space="preserve">XYL closed July 27 at $120.19, down approximately</w:t>
      </w:r>
      <w:r>
        <w:t xml:space="preserve"> </w:t>
      </w:r>
      <w:r>
        <w:rPr>
          <w:b/>
          <w:bCs/>
        </w:rPr>
        <w:t xml:space="preserve">12% year to date</w:t>
      </w:r>
      <w:r>
        <w:t xml:space="preserve">. The stock is well below its 2026 high but has recovered from its spring low.</w:t>
      </w:r>
    </w:p>
    <w:p>
      <w:pPr>
        <w:pStyle w:val="BodyText"/>
      </w:pPr>
      <w:r>
        <w:t xml:space="preserve">That lowers the bar relative to earlier in the year, but the valuation still assumes that Xylem can sustain above-market growth and steadily expand margins. The most favorable combination would be:</w:t>
      </w:r>
    </w:p>
    <w:p>
      <w:pPr>
        <w:pStyle w:val="Compact"/>
        <w:numPr>
          <w:ilvl w:val="0"/>
          <w:numId w:val="1009"/>
        </w:numPr>
      </w:pPr>
      <w:r>
        <w:t xml:space="preserve">Q2 results at or above the upper half of guidance;</w:t>
      </w:r>
    </w:p>
    <w:p>
      <w:pPr>
        <w:pStyle w:val="Compact"/>
        <w:numPr>
          <w:ilvl w:val="0"/>
          <w:numId w:val="1009"/>
        </w:numPr>
      </w:pPr>
      <w:r>
        <w:t xml:space="preserve">Positive organic orders and book-to-bill;</w:t>
      </w:r>
    </w:p>
    <w:p>
      <w:pPr>
        <w:pStyle w:val="Compact"/>
        <w:numPr>
          <w:ilvl w:val="0"/>
          <w:numId w:val="1009"/>
        </w:numPr>
      </w:pPr>
      <w:r>
        <w:t xml:space="preserve">Clear MCS sequential improvement;</w:t>
      </w:r>
    </w:p>
    <w:p>
      <w:pPr>
        <w:pStyle w:val="Compact"/>
        <w:numPr>
          <w:ilvl w:val="0"/>
          <w:numId w:val="1009"/>
        </w:numPr>
      </w:pPr>
      <w:r>
        <w:t xml:space="preserve">Reaffirmed or raised full-year guidance; and</w:t>
      </w:r>
    </w:p>
    <w:p>
      <w:pPr>
        <w:pStyle w:val="Compact"/>
        <w:numPr>
          <w:ilvl w:val="0"/>
          <w:numId w:val="1009"/>
        </w:numPr>
      </w:pPr>
      <w:r>
        <w:t xml:space="preserve">Specific evidence supporting the second-half volume ramp.</w:t>
      </w:r>
    </w:p>
    <w:bookmarkEnd w:id="24"/>
    <w:bookmarkStart w:id="28" w:name="potential-reaction-framework"/>
    <w:p>
      <w:pPr>
        <w:pStyle w:val="Heading2"/>
      </w:pPr>
      <w:r>
        <w:t xml:space="preserve">Potential reaction framework</w:t>
      </w:r>
    </w:p>
    <w:bookmarkStart w:id="25" w:name="bull-case"/>
    <w:p>
      <w:pPr>
        <w:pStyle w:val="Heading3"/>
      </w:pPr>
      <w:r>
        <w:t xml:space="preserve">Bull case</w:t>
      </w:r>
    </w:p>
    <w:p>
      <w:pPr>
        <w:pStyle w:val="Compact"/>
        <w:numPr>
          <w:ilvl w:val="0"/>
          <w:numId w:val="1010"/>
        </w:numPr>
      </w:pPr>
      <w:r>
        <w:t xml:space="preserve">Revenue near or above $2.37 billion;</w:t>
      </w:r>
    </w:p>
    <w:p>
      <w:pPr>
        <w:pStyle w:val="Compact"/>
        <w:numPr>
          <w:ilvl w:val="0"/>
          <w:numId w:val="1010"/>
        </w:numPr>
      </w:pPr>
      <w:r>
        <w:t xml:space="preserve">Adjusted EPS above $1.36;</w:t>
      </w:r>
    </w:p>
    <w:p>
      <w:pPr>
        <w:pStyle w:val="Compact"/>
        <w:numPr>
          <w:ilvl w:val="0"/>
          <w:numId w:val="1010"/>
        </w:numPr>
      </w:pPr>
      <w:r>
        <w:t xml:space="preserve">Organic orders outpace organic revenue;</w:t>
      </w:r>
    </w:p>
    <w:p>
      <w:pPr>
        <w:pStyle w:val="Compact"/>
        <w:numPr>
          <w:ilvl w:val="0"/>
          <w:numId w:val="1010"/>
        </w:numPr>
      </w:pPr>
      <w:r>
        <w:t xml:space="preserve">MCS margins improve sequentially with strong water-meter orders;</w:t>
      </w:r>
    </w:p>
    <w:p>
      <w:pPr>
        <w:pStyle w:val="Compact"/>
        <w:numPr>
          <w:ilvl w:val="0"/>
          <w:numId w:val="1010"/>
        </w:numPr>
      </w:pPr>
      <w:r>
        <w:t xml:space="preserve">Applied Water demonstrates data-center conversion;</w:t>
      </w:r>
    </w:p>
    <w:p>
      <w:pPr>
        <w:pStyle w:val="Compact"/>
        <w:numPr>
          <w:ilvl w:val="0"/>
          <w:numId w:val="1010"/>
        </w:numPr>
      </w:pPr>
      <w:r>
        <w:t xml:space="preserve">Full-year guidance rises or is narrowed toward its upper end.</w:t>
      </w:r>
    </w:p>
    <w:bookmarkEnd w:id="25"/>
    <w:bookmarkStart w:id="26" w:name="base-case"/>
    <w:p>
      <w:pPr>
        <w:pStyle w:val="Heading3"/>
      </w:pPr>
      <w:r>
        <w:t xml:space="preserve">Base case</w:t>
      </w:r>
    </w:p>
    <w:p>
      <w:pPr>
        <w:pStyle w:val="Compact"/>
        <w:numPr>
          <w:ilvl w:val="0"/>
          <w:numId w:val="1011"/>
        </w:numPr>
      </w:pPr>
      <w:r>
        <w:t xml:space="preserve">Revenue and EPS near $2.35 billion and $1.34;</w:t>
      </w:r>
    </w:p>
    <w:p>
      <w:pPr>
        <w:pStyle w:val="Compact"/>
        <w:numPr>
          <w:ilvl w:val="0"/>
          <w:numId w:val="1011"/>
        </w:numPr>
      </w:pPr>
      <w:r>
        <w:t xml:space="preserve">Q2 margin around 22.2%;</w:t>
      </w:r>
    </w:p>
    <w:p>
      <w:pPr>
        <w:pStyle w:val="Compact"/>
        <w:numPr>
          <w:ilvl w:val="0"/>
          <w:numId w:val="1011"/>
        </w:numPr>
      </w:pPr>
      <w:r>
        <w:t xml:space="preserve">Orders remain healthy but uneven;</w:t>
      </w:r>
    </w:p>
    <w:p>
      <w:pPr>
        <w:pStyle w:val="Compact"/>
        <w:numPr>
          <w:ilvl w:val="0"/>
          <w:numId w:val="1011"/>
        </w:numPr>
      </w:pPr>
      <w:r>
        <w:t xml:space="preserve">Full-year guidance is reiterated;</w:t>
      </w:r>
    </w:p>
    <w:p>
      <w:pPr>
        <w:pStyle w:val="Compact"/>
        <w:numPr>
          <w:ilvl w:val="0"/>
          <w:numId w:val="1011"/>
        </w:numPr>
      </w:pPr>
      <w:r>
        <w:t xml:space="preserve">Management maintains confidence in second-half organic growth and margins.</w:t>
      </w:r>
    </w:p>
    <w:bookmarkEnd w:id="26"/>
    <w:bookmarkStart w:id="27" w:name="bear-case"/>
    <w:p>
      <w:pPr>
        <w:pStyle w:val="Heading3"/>
      </w:pPr>
      <w:r>
        <w:t xml:space="preserve">Bear case</w:t>
      </w:r>
    </w:p>
    <w:p>
      <w:pPr>
        <w:pStyle w:val="Compact"/>
        <w:numPr>
          <w:ilvl w:val="0"/>
          <w:numId w:val="1012"/>
        </w:numPr>
      </w:pPr>
      <w:r>
        <w:t xml:space="preserve">Organic growth below 1%;</w:t>
      </w:r>
    </w:p>
    <w:p>
      <w:pPr>
        <w:pStyle w:val="Compact"/>
        <w:numPr>
          <w:ilvl w:val="0"/>
          <w:numId w:val="1012"/>
        </w:numPr>
      </w:pPr>
      <w:r>
        <w:t xml:space="preserve">Weak MCS project conversion or another margin setback;</w:t>
      </w:r>
    </w:p>
    <w:p>
      <w:pPr>
        <w:pStyle w:val="Compact"/>
        <w:numPr>
          <w:ilvl w:val="0"/>
          <w:numId w:val="1012"/>
        </w:numPr>
      </w:pPr>
      <w:r>
        <w:t xml:space="preserve">Continued WSS order weakness;</w:t>
      </w:r>
    </w:p>
    <w:p>
      <w:pPr>
        <w:pStyle w:val="Compact"/>
        <w:numPr>
          <w:ilvl w:val="0"/>
          <w:numId w:val="1012"/>
        </w:numPr>
      </w:pPr>
      <w:r>
        <w:t xml:space="preserve">Greater tariff, fuel, or input-cost pressure;</w:t>
      </w:r>
    </w:p>
    <w:p>
      <w:pPr>
        <w:pStyle w:val="Compact"/>
        <w:numPr>
          <w:ilvl w:val="0"/>
          <w:numId w:val="1012"/>
        </w:numPr>
      </w:pPr>
      <w:r>
        <w:t xml:space="preserve">Reduced full-year organic-growth or EBITDA-margin guidance;</w:t>
      </w:r>
    </w:p>
    <w:p>
      <w:pPr>
        <w:pStyle w:val="Compact"/>
        <w:numPr>
          <w:ilvl w:val="0"/>
          <w:numId w:val="1012"/>
        </w:numPr>
      </w:pPr>
      <w:r>
        <w:t xml:space="preserve">Vague explanations for why the second-half ramp remains achievable.</w:t>
      </w:r>
    </w:p>
    <w:bookmarkEnd w:id="27"/>
    <w:bookmarkEnd w:id="28"/>
    <w:bookmarkStart w:id="29" w:name="bottom-line"/>
    <w:p>
      <w:pPr>
        <w:pStyle w:val="Heading2"/>
      </w:pPr>
      <w:r>
        <w:t xml:space="preserve">Bottom line</w:t>
      </w:r>
    </w:p>
    <w:p>
      <w:pPr>
        <w:pStyle w:val="FirstParagraph"/>
      </w:pPr>
      <w:r>
        <w:t xml:space="preserve">This quarter is less about whether Xylem earns exactly $1.34 per share and more about whether the underlying indicators support a materially stronger second half.</w:t>
      </w:r>
    </w:p>
    <w:p>
      <w:pPr>
        <w:pStyle w:val="BodyText"/>
      </w:pPr>
      <w:r>
        <w:t xml:space="preserve">The highest-signal items are</w:t>
      </w:r>
      <w:r>
        <w:t xml:space="preserve"> </w:t>
      </w:r>
      <w:r>
        <w:rPr>
          <w:b/>
          <w:bCs/>
        </w:rPr>
        <w:t xml:space="preserve">organic orders, MCS project conversion and margins, Applied Water’s data-center contribution, price/cost discipline, and the credibility of full-year guidance</w:t>
      </w:r>
      <w:r>
        <w:t xml:space="preserve">. A clean Q2 combined with firm second-half commentary could reinforce the idea that recent weakness reflects temporary mix and timing issues. Conversely, any slippage in orders or backlog conversion would raise questions because the full-year plan already assumes a meaningful improvement from the first-half growth rate.</w:t>
      </w:r>
    </w:p>
    <w:bookmarkEnd w:id="29"/>
    <w:bookmarkEnd w:id="3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0" Target="https://xyleminc.gcs-web.com/estimates?utm_source=openai" TargetMode="External" /><Relationship Type="http://schemas.openxmlformats.org/officeDocument/2006/relationships/hyperlink" Id="rId9" Target="https://xyleminc.gcs-web.com/news-events/news-releases?field_nir_news_date_value%5Bmax%5D=&amp;field_nir_news_date_value%5Bmin%5D=&amp;items_per_page=10&amp;max=&amp;min=&amp;mobile=1&amp;page=8&amp;utm_source=openai" TargetMode="External" /><Relationship Type="http://schemas.openxmlformats.org/officeDocument/2006/relationships/hyperlink" Id="rId22" Target="https://xyleminc.gcs-web.com/news-releases/news-release-details/xylem-reports-first-quarter-results?utm_source=opena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0" Target="https://xyleminc.gcs-web.com/estimates?utm_source=openai" TargetMode="External" /><Relationship Type="http://schemas.openxmlformats.org/officeDocument/2006/relationships/hyperlink" Id="rId9" Target="https://xyleminc.gcs-web.com/news-events/news-releases?field_nir_news_date_value%5Bmax%5D=&amp;field_nir_news_date_value%5Bmin%5D=&amp;items_per_page=10&amp;max=&amp;min=&amp;mobile=1&amp;page=8&amp;utm_source=openai" TargetMode="External" /><Relationship Type="http://schemas.openxmlformats.org/officeDocument/2006/relationships/hyperlink" Id="rId22" Target="https://xyleminc.gcs-web.com/news-releases/news-release-details/xylem-reports-first-quarter-results?utm_source=opena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2026-07-28T00:36:42Z</dcterms:created>
  <dcterms:modified xsi:type="dcterms:W3CDTF">2026-07-28T00:36:42Z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