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5" w:name="xylem-xyl-q2-2026-earnings-preview"/>
    <w:p>
      <w:pPr>
        <w:pStyle w:val="Heading1"/>
      </w:pPr>
      <w:r>
        <w:t xml:space="preserve">Xylem (XYL) Q2 2026 Earnings Preview</w:t>
      </w:r>
    </w:p>
    <w:p>
      <w:pPr>
        <w:pStyle w:val="BlockText"/>
      </w:pPr>
      <w:r>
        <w:rPr>
          <w:b/>
          <w:bCs/>
        </w:rPr>
        <w:t xml:space="preserve">Timing note:</w:t>
      </w:r>
      <w:r>
        <w:t xml:space="preserve"> </w:t>
      </w:r>
      <w:r>
        <w:t xml:space="preserve">July 28, 2026 is</w:t>
      </w:r>
      <w:r>
        <w:t xml:space="preserve"> </w:t>
      </w:r>
      <w:r>
        <w:rPr>
          <w:b/>
          <w:bCs/>
        </w:rPr>
        <w:t xml:space="preserve">today</w:t>
      </w:r>
      <w:r>
        <w:t xml:space="preserve">, not tomorrow. Xylem had scheduled its Q2 release for</w:t>
      </w:r>
      <w:r>
        <w:t xml:space="preserve"> </w:t>
      </w:r>
      <w:r>
        <w:rPr>
          <w:b/>
          <w:bCs/>
        </w:rPr>
        <w:t xml:space="preserve">6:55 a.m. ET</w:t>
      </w:r>
      <w:r>
        <w:t xml:space="preserve"> </w:t>
      </w:r>
      <w:r>
        <w:t xml:space="preserve">and its earnings call for</w:t>
      </w:r>
      <w:r>
        <w:t xml:space="preserve"> </w:t>
      </w:r>
      <w:r>
        <w:rPr>
          <w:b/>
          <w:bCs/>
        </w:rPr>
        <w:t xml:space="preserve">9:00 a.m. ET</w:t>
      </w:r>
      <w:r>
        <w:t xml:space="preserve"> </w:t>
      </w:r>
      <w:r>
        <w:t xml:space="preserve">on July 28. This is therefore a pre-results framework based on the company’s Q1 disclosures and guidance, rather than an assessment of any Q2 results that may already have been released.</w:t>
      </w:r>
    </w:p>
    <w:bookmarkStart w:id="9" w:name="X604f72bb390f92e7107d41302a873e799e6c16a"/>
    <w:p>
      <w:pPr>
        <w:pStyle w:val="Heading2"/>
      </w:pPr>
      <w:r>
        <w:t xml:space="preserve">Investment view: the quarter is about validating the second-half acceleration</w:t>
      </w:r>
    </w:p>
    <w:p>
      <w:pPr>
        <w:pStyle w:val="FirstParagraph"/>
      </w:pPr>
      <w:r>
        <w:t xml:space="preserve">Xylem enters Q2 with a relatively modest near-term setup but a meaningful back-half burden. Management’s Q1 outlook called for approximately</w:t>
      </w:r>
      <w:r>
        <w:t xml:space="preserve"> </w:t>
      </w:r>
      <w:r>
        <w:rPr>
          <w:b/>
          <w:bCs/>
        </w:rPr>
        <w:t xml:space="preserve">1% organic growth</w:t>
      </w:r>
      <w:r>
        <w:t xml:space="preserve">,</w:t>
      </w:r>
      <w:r>
        <w:t xml:space="preserve"> </w:t>
      </w:r>
      <w:r>
        <w:rPr>
          <w:b/>
          <w:bCs/>
        </w:rPr>
        <w:t xml:space="preserve">22.0%–22.5% adjusted EBITDA margin</w:t>
      </w:r>
      <w:r>
        <w:t xml:space="preserve">, and</w:t>
      </w:r>
      <w:r>
        <w:t xml:space="preserve"> </w:t>
      </w:r>
      <m:oMath>
        <m:r>
          <m:t>1.31</m:t>
        </m:r>
        <m:r>
          <m:rPr>
            <m:sty m:val="p"/>
          </m:rPr>
          <m:t>–</m:t>
        </m:r>
      </m:oMath>
      <w:r>
        <w:rPr>
          <w:b/>
          <w:bCs/>
        </w:rPr>
        <w:t xml:space="preserve">1.36 of adjusted EPS</w:t>
      </w:r>
      <w:r>
        <w:t xml:space="preserve"> </w:t>
      </w:r>
      <w:r>
        <w:t xml:space="preserve">in Q2. That is not an especially demanding operating bar; the more consequential issue is whether Q2 orders, segment commentary, and the full-year outlook continue to support a step-up in organic growth and margin expansion in the second half.</w:t>
      </w:r>
    </w:p>
    <w:p>
      <w:pPr>
        <w:pStyle w:val="BodyText"/>
      </w:pPr>
      <w:r>
        <w:t xml:space="preserve">The company’s long-cycle municipal and utility exposure remains an important source of resilience. However, investors will want evidence that this strength is overcoming the nearer-term offsets from China, 80/20 “walkaway” actions, uneven project timing, and softer pockets of industrial and residential demand.</w:t>
      </w:r>
    </w:p>
    <w:bookmarkEnd w:id="9"/>
    <w:bookmarkStart w:id="10" w:name="the-numerical-setup"/>
    <w:p>
      <w:pPr>
        <w:pStyle w:val="Heading2"/>
      </w:pPr>
      <w:r>
        <w:t xml:space="preserve">The numerical setup</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Metric</w:t>
            </w:r>
          </w:p>
        </w:tc>
        <w:tc>
          <w:tcPr/>
          <w:p>
            <w:pPr>
              <w:pStyle w:val="Compact"/>
              <w:jc w:val="right"/>
            </w:pPr>
            <w:r>
              <w:t xml:space="preserve">Q2 2026 company outlook</w:t>
            </w:r>
          </w:p>
        </w:tc>
        <w:tc>
          <w:tcPr/>
          <w:p>
            <w:pPr>
              <w:pStyle w:val="Compact"/>
              <w:jc w:val="right"/>
            </w:pPr>
            <w:r>
              <w:t xml:space="preserve">Q2 2025 actual</w:t>
            </w:r>
          </w:p>
        </w:tc>
        <w:tc>
          <w:tcPr/>
          <w:p>
            <w:pPr>
              <w:pStyle w:val="Compact"/>
              <w:jc w:val="right"/>
            </w:pPr>
            <w:r>
              <w:t xml:space="preserve">Implied year-over-year change</w:t>
            </w:r>
          </w:p>
        </w:tc>
      </w:tr>
      <w:tr>
        <w:tc>
          <w:tcPr/>
          <w:p>
            <w:pPr>
              <w:pStyle w:val="Compact"/>
            </w:pPr>
            <w:r>
              <w:t xml:space="preserve">Revenue</w:t>
            </w:r>
          </w:p>
        </w:tc>
        <w:tc>
          <w:tcPr/>
          <w:p>
            <w:pPr>
              <w:pStyle w:val="Compact"/>
              <w:jc w:val="right"/>
            </w:pPr>
            <m:oMath>
              <m:r>
                <m:t>2.35</m:t>
              </m:r>
              <m:r>
                <m:t>B</m:t>
              </m:r>
              <m:r>
                <m:rPr>
                  <m:sty m:val="p"/>
                </m:rPr>
                <m:t>–</m:t>
              </m:r>
            </m:oMath>
            <w:r>
              <w:rPr>
                <w:b/>
                <w:bCs/>
              </w:rPr>
              <w:t xml:space="preserve">2.37B</w:t>
            </w:r>
          </w:p>
        </w:tc>
        <w:tc>
          <w:tcPr/>
          <w:p>
            <w:pPr>
              <w:pStyle w:val="Compact"/>
              <w:jc w:val="right"/>
            </w:pPr>
            <w:r>
              <w:t xml:space="preserve">$2.30B</w:t>
            </w:r>
          </w:p>
        </w:tc>
        <w:tc>
          <w:tcPr/>
          <w:p>
            <w:pPr>
              <w:pStyle w:val="Compact"/>
              <w:jc w:val="right"/>
            </w:pPr>
            <w:r>
              <w:t xml:space="preserve">~2%–3% reported growth</w:t>
            </w:r>
          </w:p>
        </w:tc>
      </w:tr>
      <w:tr>
        <w:tc>
          <w:tcPr/>
          <w:p>
            <w:pPr>
              <w:pStyle w:val="Compact"/>
            </w:pPr>
            <w:r>
              <w:t xml:space="preserve">Organic revenue</w:t>
            </w:r>
          </w:p>
        </w:tc>
        <w:tc>
          <w:tcPr/>
          <w:p>
            <w:pPr>
              <w:pStyle w:val="Compact"/>
              <w:jc w:val="right"/>
            </w:pPr>
            <w:r>
              <w:t xml:space="preserve">~</w:t>
            </w:r>
            <w:r>
              <w:rPr>
                <w:b/>
                <w:bCs/>
              </w:rPr>
              <w:t xml:space="preserve">1%</w:t>
            </w:r>
          </w:p>
        </w:tc>
        <w:tc>
          <w:tcPr/>
          <w:p>
            <w:pPr>
              <w:pStyle w:val="Compact"/>
              <w:jc w:val="right"/>
            </w:pPr>
            <w:r>
              <w:t xml:space="preserve">6%</w:t>
            </w:r>
          </w:p>
        </w:tc>
        <w:tc>
          <w:tcPr/>
          <w:p>
            <w:pPr>
              <w:pStyle w:val="Compact"/>
              <w:jc w:val="right"/>
            </w:pPr>
            <w:r>
              <w:t xml:space="preserve">Material deceleration</w:t>
            </w:r>
          </w:p>
        </w:tc>
      </w:tr>
      <w:tr>
        <w:tc>
          <w:tcPr/>
          <w:p>
            <w:pPr>
              <w:pStyle w:val="Compact"/>
            </w:pPr>
            <w:r>
              <w:t xml:space="preserve">Adjusted EBITDA margin</w:t>
            </w:r>
          </w:p>
        </w:tc>
        <w:tc>
          <w:tcPr/>
          <w:p>
            <w:pPr>
              <w:pStyle w:val="Compact"/>
              <w:jc w:val="right"/>
            </w:pPr>
            <w:r>
              <w:rPr>
                <w:b/>
                <w:bCs/>
              </w:rPr>
              <w:t xml:space="preserve">22.0%–22.5%</w:t>
            </w:r>
          </w:p>
        </w:tc>
        <w:tc>
          <w:tcPr/>
          <w:p>
            <w:pPr>
              <w:pStyle w:val="Compact"/>
              <w:jc w:val="right"/>
            </w:pPr>
            <w:r>
              <w:t xml:space="preserve">21.8%</w:t>
            </w:r>
          </w:p>
        </w:tc>
        <w:tc>
          <w:tcPr/>
          <w:p>
            <w:pPr>
              <w:pStyle w:val="Compact"/>
              <w:jc w:val="right"/>
            </w:pPr>
            <w:r>
              <w:t xml:space="preserve">+20–70 bps</w:t>
            </w:r>
          </w:p>
        </w:tc>
      </w:tr>
      <w:tr>
        <w:tc>
          <w:tcPr/>
          <w:p>
            <w:pPr>
              <w:pStyle w:val="Compact"/>
            </w:pPr>
            <w:r>
              <w:t xml:space="preserve">Adjusted EBITDA</w:t>
            </w:r>
          </w:p>
        </w:tc>
        <w:tc>
          <w:tcPr/>
          <w:p>
            <w:pPr>
              <w:pStyle w:val="Compact"/>
              <w:jc w:val="right"/>
            </w:pPr>
            <w:r>
              <w:rPr>
                <w:b/>
                <w:bCs/>
              </w:rPr>
              <w:t xml:space="preserve">~</w:t>
            </w:r>
            <m:oMath>
              <m:r>
                <m:t>516</m:t>
              </m:r>
              <m:r>
                <m:t>M</m:t>
              </m:r>
              <m:r>
                <m:rPr>
                  <m:sty m:val="p"/>
                </m:rPr>
                <m:t>–</m:t>
              </m:r>
            </m:oMath>
            <w:r>
              <w:rPr>
                <w:b/>
                <w:bCs/>
              </w:rPr>
              <w:t xml:space="preserve">533M</w:t>
            </w:r>
          </w:p>
        </w:tc>
        <w:tc>
          <w:tcPr/>
          <w:p>
            <w:pPr>
              <w:pStyle w:val="Compact"/>
              <w:jc w:val="right"/>
            </w:pPr>
            <w:r>
              <w:t xml:space="preserve">$502M</w:t>
            </w:r>
          </w:p>
        </w:tc>
        <w:tc>
          <w:tcPr/>
          <w:p>
            <w:pPr>
              <w:pStyle w:val="Compact"/>
              <w:jc w:val="right"/>
            </w:pPr>
            <w:r>
              <w:t xml:space="preserve">~3%–6%</w:t>
            </w:r>
          </w:p>
        </w:tc>
      </w:tr>
      <w:tr>
        <w:tc>
          <w:tcPr/>
          <w:p>
            <w:pPr>
              <w:pStyle w:val="Compact"/>
            </w:pPr>
            <w:r>
              <w:t xml:space="preserve">Adjusted EPS</w:t>
            </w:r>
          </w:p>
        </w:tc>
        <w:tc>
          <w:tcPr/>
          <w:p>
            <w:pPr>
              <w:pStyle w:val="Compact"/>
              <w:jc w:val="right"/>
            </w:pPr>
            <m:oMath>
              <m:r>
                <m:t>1.31</m:t>
              </m:r>
              <m:r>
                <m:rPr>
                  <m:sty m:val="p"/>
                </m:rPr>
                <m:t>–</m:t>
              </m:r>
            </m:oMath>
            <w:r>
              <w:rPr>
                <w:b/>
                <w:bCs/>
              </w:rPr>
              <w:t xml:space="preserve">1.36</w:t>
            </w:r>
          </w:p>
        </w:tc>
        <w:tc>
          <w:tcPr/>
          <w:p>
            <w:pPr>
              <w:pStyle w:val="Compact"/>
              <w:jc w:val="right"/>
            </w:pPr>
            <w:r>
              <w:t xml:space="preserve">$1.26</w:t>
            </w:r>
          </w:p>
        </w:tc>
        <w:tc>
          <w:tcPr/>
          <w:p>
            <w:pPr>
              <w:pStyle w:val="Compact"/>
              <w:jc w:val="right"/>
            </w:pPr>
            <w:r>
              <w:t xml:space="preserve">~4%–8%</w:t>
            </w:r>
          </w:p>
        </w:tc>
      </w:tr>
    </w:tbl>
    <w:p>
      <w:pPr>
        <w:pStyle w:val="BodyText"/>
      </w:pPr>
      <w:r>
        <w:t xml:space="preserve">Xylem maintained its full-year framework after Q1:</w:t>
      </w:r>
    </w:p>
    <w:p>
      <w:pPr>
        <w:pStyle w:val="Compact"/>
        <w:numPr>
          <w:ilvl w:val="0"/>
          <w:numId w:val="1001"/>
        </w:numPr>
      </w:pPr>
      <w:r>
        <w:rPr>
          <w:b/>
          <w:bCs/>
        </w:rPr>
        <w:t xml:space="preserve">Revenue:</w:t>
      </w:r>
      <w:r>
        <w:t xml:space="preserve"> </w:t>
      </w:r>
      <m:oMath>
        <m:r>
          <m:t>9.2</m:t>
        </m:r>
        <m:r>
          <m:t>B</m:t>
        </m:r>
        <m:r>
          <m:rPr>
            <m:sty m:val="p"/>
          </m:rPr>
          <m:t>–</m:t>
        </m:r>
      </m:oMath>
      <w:r>
        <w:t xml:space="preserve">9.3B, including</w:t>
      </w:r>
      <w:r>
        <w:t xml:space="preserve"> </w:t>
      </w:r>
      <w:r>
        <w:rPr>
          <w:b/>
          <w:bCs/>
        </w:rPr>
        <w:t xml:space="preserve">2%–4% organic growth</w:t>
      </w:r>
    </w:p>
    <w:p>
      <w:pPr>
        <w:pStyle w:val="Compact"/>
        <w:numPr>
          <w:ilvl w:val="0"/>
          <w:numId w:val="1001"/>
        </w:numPr>
      </w:pPr>
      <w:r>
        <w:rPr>
          <w:b/>
          <w:bCs/>
        </w:rPr>
        <w:t xml:space="preserve">Adjusted EBITDA margin:</w:t>
      </w:r>
      <w:r>
        <w:t xml:space="preserve"> </w:t>
      </w:r>
      <w:r>
        <w:rPr>
          <w:b/>
          <w:bCs/>
        </w:rPr>
        <w:t xml:space="preserve">22.9%–23.3%</w:t>
      </w:r>
      <w:r>
        <w:t xml:space="preserve">, or 70–110 bps of expansion</w:t>
      </w:r>
    </w:p>
    <w:p>
      <w:pPr>
        <w:pStyle w:val="Compact"/>
        <w:numPr>
          <w:ilvl w:val="0"/>
          <w:numId w:val="1001"/>
        </w:numPr>
      </w:pPr>
      <w:r>
        <w:rPr>
          <w:b/>
          <w:bCs/>
        </w:rPr>
        <w:t xml:space="preserve">Adjusted EPS:</w:t>
      </w:r>
      <w:r>
        <w:t xml:space="preserve"> </w:t>
      </w:r>
      <m:oMath>
        <m:r>
          <m:t>5.35</m:t>
        </m:r>
        <m:r>
          <m:rPr>
            <m:sty m:val="p"/>
          </m:rPr>
          <m:t>–</m:t>
        </m:r>
      </m:oMath>
      <w:r>
        <w:rPr>
          <w:b/>
          <w:bCs/>
        </w:rPr>
        <w:t xml:space="preserve">5.60</w:t>
      </w:r>
    </w:p>
    <w:p>
      <w:pPr>
        <w:pStyle w:val="Compact"/>
        <w:numPr>
          <w:ilvl w:val="0"/>
          <w:numId w:val="1001"/>
        </w:numPr>
      </w:pPr>
      <w:r>
        <w:rPr>
          <w:b/>
          <w:bCs/>
        </w:rPr>
        <w:t xml:space="preserve">Free-cash-flow margin:</w:t>
      </w:r>
      <w:r>
        <w:t xml:space="preserve"> </w:t>
      </w:r>
      <w:r>
        <w:rPr>
          <w:b/>
          <w:bCs/>
        </w:rPr>
        <w:t xml:space="preserve">10.2%–11.0%</w:t>
      </w:r>
    </w:p>
    <w:p>
      <w:pPr>
        <w:pStyle w:val="FirstParagraph"/>
      </w:pPr>
      <w:r>
        <w:t xml:space="preserve">Mechanically, after Q1 adjusted EPS of</w:t>
      </w:r>
      <w:r>
        <w:t xml:space="preserve"> </w:t>
      </w:r>
      <m:oMath>
        <m:r>
          <m:t>1.12</m:t>
        </m:r>
        <m:r>
          <m:t>a</m:t>
        </m:r>
        <m:r>
          <m:t>n</m:t>
        </m:r>
        <m:r>
          <m:t>d</m:t>
        </m:r>
        <m:r>
          <m:t>t</m:t>
        </m:r>
        <m:r>
          <m:t>h</m:t>
        </m:r>
        <m:r>
          <m:t>e</m:t>
        </m:r>
        <m:r>
          <m:t>Q</m:t>
        </m:r>
        <m:r>
          <m:t>2</m:t>
        </m:r>
        <m:r>
          <m:t>g</m:t>
        </m:r>
        <m:r>
          <m:t>u</m:t>
        </m:r>
        <m:r>
          <m:t>i</m:t>
        </m:r>
        <m:r>
          <m:t>d</m:t>
        </m:r>
        <m:r>
          <m:t>e</m:t>
        </m:r>
        <m:r>
          <m:rPr>
            <m:sty m:val="p"/>
          </m:rPr>
          <m:t>,</m:t>
        </m:r>
        <m:r>
          <m:t>t</m:t>
        </m:r>
        <m:r>
          <m:t>h</m:t>
        </m:r>
        <m:r>
          <m:t>e</m:t>
        </m:r>
        <m:r>
          <m:t>c</m:t>
        </m:r>
        <m:r>
          <m:t>o</m:t>
        </m:r>
        <m:r>
          <m:t>m</m:t>
        </m:r>
        <m:r>
          <m:t>p</m:t>
        </m:r>
        <m:r>
          <m:t>a</m:t>
        </m:r>
        <m:r>
          <m:t>n</m:t>
        </m:r>
        <m:r>
          <m:t>y</m:t>
        </m:r>
        <m:r>
          <m:t>n</m:t>
        </m:r>
        <m:r>
          <m:t>e</m:t>
        </m:r>
        <m:r>
          <m:t>e</m:t>
        </m:r>
        <m:r>
          <m:t>d</m:t>
        </m:r>
        <m:r>
          <m:t>s</m:t>
        </m:r>
        <m:r>
          <m:t>r</m:t>
        </m:r>
        <m:r>
          <m:t>o</m:t>
        </m:r>
        <m:r>
          <m:t>u</m:t>
        </m:r>
        <m:r>
          <m:t>g</m:t>
        </m:r>
        <m:r>
          <m:t>h</m:t>
        </m:r>
        <m:r>
          <m:t>l</m:t>
        </m:r>
        <m:r>
          <m:t>y</m:t>
        </m:r>
        <m:r>
          <m:rPr>
            <m:sty m:val="p"/>
          </m:rPr>
          <m:t>*</m:t>
        </m:r>
        <m:r>
          <m:rPr>
            <m:sty m:val="p"/>
          </m:rPr>
          <m:t>*</m:t>
        </m:r>
      </m:oMath>
      <w:r>
        <w:t xml:space="preserve">2.87–$3.17 of adjusted EPS in the second half** to deliver its full-year range. That leaves Q3 and Q4 as the principal proof points for the margin and volume recovery embedded in guidance.</w:t>
      </w:r>
    </w:p>
    <w:bookmarkEnd w:id="10"/>
    <w:bookmarkStart w:id="16" w:name="why-this-report-matters"/>
    <w:p>
      <w:pPr>
        <w:pStyle w:val="Heading2"/>
      </w:pPr>
      <w:r>
        <w:t xml:space="preserve">Why this report matters</w:t>
      </w:r>
    </w:p>
    <w:bookmarkStart w:id="11" w:name="Xfbb2ce4b842ca14c86970473315d6111397190f"/>
    <w:p>
      <w:pPr>
        <w:pStyle w:val="Heading3"/>
      </w:pPr>
      <w:r>
        <w:t xml:space="preserve">1. Can management retain its full-year guide without lowering the quality of the outlook?</w:t>
      </w:r>
    </w:p>
    <w:p>
      <w:pPr>
        <w:pStyle w:val="FirstParagraph"/>
      </w:pPr>
      <w:r>
        <w:t xml:space="preserve">A reiteration would be constructive only if supported by credible comments on:</w:t>
      </w:r>
    </w:p>
    <w:p>
      <w:pPr>
        <w:pStyle w:val="Compact"/>
        <w:numPr>
          <w:ilvl w:val="0"/>
          <w:numId w:val="1002"/>
        </w:numPr>
      </w:pPr>
      <w:r>
        <w:t xml:space="preserve">Order conversion and backlog visibility;</w:t>
      </w:r>
    </w:p>
    <w:p>
      <w:pPr>
        <w:pStyle w:val="Compact"/>
        <w:numPr>
          <w:ilvl w:val="0"/>
          <w:numId w:val="1002"/>
        </w:numPr>
      </w:pPr>
      <w:r>
        <w:t xml:space="preserve">The expected sequential volume ramp in the second half;</w:t>
      </w:r>
    </w:p>
    <w:p>
      <w:pPr>
        <w:pStyle w:val="Compact"/>
        <w:numPr>
          <w:ilvl w:val="0"/>
          <w:numId w:val="1002"/>
        </w:numPr>
      </w:pPr>
      <w:r>
        <w:t xml:space="preserve">MCS margin expansion after Q2;</w:t>
      </w:r>
    </w:p>
    <w:p>
      <w:pPr>
        <w:pStyle w:val="Compact"/>
        <w:numPr>
          <w:ilvl w:val="0"/>
          <w:numId w:val="1002"/>
        </w:numPr>
      </w:pPr>
      <w:r>
        <w:t xml:space="preserve">China pressure easing after the first half;</w:t>
      </w:r>
    </w:p>
    <w:p>
      <w:pPr>
        <w:pStyle w:val="Compact"/>
        <w:numPr>
          <w:ilvl w:val="0"/>
          <w:numId w:val="1002"/>
        </w:numPr>
      </w:pPr>
      <w:r>
        <w:t xml:space="preserve">Recovery from 80/20 portfolio actions and project-timing effects.</w:t>
      </w:r>
    </w:p>
    <w:p>
      <w:pPr>
        <w:pStyle w:val="FirstParagraph"/>
      </w:pPr>
      <w:r>
        <w:t xml:space="preserve">At Q1, management retained the organic-growth outlook but acknowledged that growth required a sharper back-half ramp. The company cited normal seasonality, greater MCS project conversion, and easier comparisons after first-half China and walkaway headwinds.</w:t>
      </w:r>
    </w:p>
    <w:p>
      <w:pPr>
        <w:pStyle w:val="BodyText"/>
      </w:pPr>
      <w:r>
        <w:rPr>
          <w:b/>
          <w:bCs/>
        </w:rPr>
        <w:t xml:space="preserve">Investor interpretation:</w:t>
      </w:r>
      <w:r>
        <w:t xml:space="preserve"> </w:t>
      </w:r>
      <w:r>
        <w:t xml:space="preserve">A guide reiteration with healthy orders and confident segment-level commentary should be enough. A reiteration paired with weaker orders, vague explanations of project timing, or another delay in MCS recovery would likely be viewed skeptically.</w:t>
      </w:r>
    </w:p>
    <w:bookmarkEnd w:id="11"/>
    <w:bookmarkStart w:id="12" w:name="X2d921f10dd6f5599670bc386a8bec693322a828"/>
    <w:p>
      <w:pPr>
        <w:pStyle w:val="Heading3"/>
      </w:pPr>
      <w:r>
        <w:t xml:space="preserve">2. Measurement &amp; Control Solutions is the central swing factor</w:t>
      </w:r>
    </w:p>
    <w:p>
      <w:pPr>
        <w:pStyle w:val="FirstParagraph"/>
      </w:pPr>
      <w:r>
        <w:t xml:space="preserve">MCS delivered the strongest Q1 order performance, with orders up</w:t>
      </w:r>
      <w:r>
        <w:t xml:space="preserve"> </w:t>
      </w:r>
      <w:r>
        <w:rPr>
          <w:b/>
          <w:bCs/>
        </w:rPr>
        <w:t xml:space="preserve">15%</w:t>
      </w:r>
      <w:r>
        <w:t xml:space="preserve">, driven by smart-metering demand and progress on projects that had shifted from Q4. Still, Q1 revenue grew only</w:t>
      </w:r>
      <w:r>
        <w:t xml:space="preserve"> </w:t>
      </w:r>
      <w:r>
        <w:rPr>
          <w:b/>
          <w:bCs/>
        </w:rPr>
        <w:t xml:space="preserve">1%</w:t>
      </w:r>
      <w:r>
        <w:t xml:space="preserve">, backlog was roughly flat sequentially at approximately $1.4B, and book-to-bill was below one.</w:t>
      </w:r>
    </w:p>
    <w:p>
      <w:pPr>
        <w:pStyle w:val="BodyText"/>
      </w:pPr>
      <w:r>
        <w:t xml:space="preserve">Management expected:</w:t>
      </w:r>
    </w:p>
    <w:p>
      <w:pPr>
        <w:pStyle w:val="Compact"/>
        <w:numPr>
          <w:ilvl w:val="0"/>
          <w:numId w:val="1003"/>
        </w:numPr>
      </w:pPr>
      <w:r>
        <w:t xml:space="preserve">Double-digit water-metering order growth through the balance of 2026;</w:t>
      </w:r>
    </w:p>
    <w:p>
      <w:pPr>
        <w:pStyle w:val="Compact"/>
        <w:numPr>
          <w:ilvl w:val="0"/>
          <w:numId w:val="1003"/>
        </w:numPr>
      </w:pPr>
      <w:r>
        <w:t xml:space="preserve">Q2 MCS margin to be down year over year because of energy-metering mix;</w:t>
      </w:r>
    </w:p>
    <w:p>
      <w:pPr>
        <w:pStyle w:val="Compact"/>
        <w:numPr>
          <w:ilvl w:val="0"/>
          <w:numId w:val="1003"/>
        </w:numPr>
      </w:pPr>
      <w:r>
        <w:t xml:space="preserve">Sequential margin improvement in Q2;</w:t>
      </w:r>
    </w:p>
    <w:p>
      <w:pPr>
        <w:pStyle w:val="Compact"/>
        <w:numPr>
          <w:ilvl w:val="0"/>
          <w:numId w:val="1003"/>
        </w:numPr>
      </w:pPr>
      <w:r>
        <w:t xml:space="preserve">A return to year-over-year margin expansion in the second half;</w:t>
      </w:r>
    </w:p>
    <w:p>
      <w:pPr>
        <w:pStyle w:val="Compact"/>
        <w:numPr>
          <w:ilvl w:val="0"/>
          <w:numId w:val="1003"/>
        </w:numPr>
      </w:pPr>
      <w:r>
        <w:t xml:space="preserve">An exit rate above</w:t>
      </w:r>
      <w:r>
        <w:t xml:space="preserve"> </w:t>
      </w:r>
      <w:r>
        <w:rPr>
          <w:b/>
          <w:bCs/>
        </w:rPr>
        <w:t xml:space="preserve">25% EBITDA margin</w:t>
      </w:r>
      <w:r>
        <w:t xml:space="preserve"> </w:t>
      </w:r>
      <w:r>
        <w:t xml:space="preserve">following the international metering divestiture.</w:t>
      </w:r>
    </w:p>
    <w:p>
      <w:pPr>
        <w:pStyle w:val="FirstParagraph"/>
      </w:pPr>
      <w:r>
        <w:t xml:space="preserve">The international metering divestiture had been expected to close around the end of Q2. Its completion, the impact on reported revenue, and the post-divestiture margin profile are important items to monitor.</w:t>
      </w:r>
    </w:p>
    <w:p>
      <w:pPr>
        <w:pStyle w:val="BodyText"/>
      </w:pPr>
      <w:r>
        <w:rPr>
          <w:b/>
          <w:bCs/>
        </w:rPr>
        <w:t xml:space="preserve">What investors need to hear:</w:t>
      </w:r>
      <w:r>
        <w:t xml:space="preserve"> </w:t>
      </w:r>
      <w:r>
        <w:t xml:space="preserve">continuing water-meter project awards, no further slippage in expected conversion, and clear confidence in the second-half margin inflection.</w:t>
      </w:r>
    </w:p>
    <w:bookmarkEnd w:id="12"/>
    <w:bookmarkStart w:id="13" w:name="Xa52339e4977cdd5368bfc4b5f0f0d043307c319"/>
    <w:p>
      <w:pPr>
        <w:pStyle w:val="Heading3"/>
      </w:pPr>
      <w:r>
        <w:t xml:space="preserve">3. Water Infrastructure needs to show that its drags are becoming less severe</w:t>
      </w:r>
    </w:p>
    <w:p>
      <w:pPr>
        <w:pStyle w:val="FirstParagraph"/>
      </w:pPr>
      <w:r>
        <w:t xml:space="preserve">Water Infrastructure’s Q1 revenue fell 1% organically despite 2% orders growth. Transport demand was strong in the U.S. and India, but treatment revenue was affected by deliberate walkaway actions, while China and Western Europe remained weak.</w:t>
      </w:r>
    </w:p>
    <w:p>
      <w:pPr>
        <w:pStyle w:val="BodyText"/>
      </w:pPr>
      <w:r>
        <w:t xml:space="preserve">China was especially notable: management said China sales were down roughly</w:t>
      </w:r>
      <w:r>
        <w:t xml:space="preserve"> </w:t>
      </w:r>
      <w:r>
        <w:rPr>
          <w:b/>
          <w:bCs/>
        </w:rPr>
        <w:t xml:space="preserve">30% year over year</w:t>
      </w:r>
      <w:r>
        <w:t xml:space="preserve"> </w:t>
      </w:r>
      <w:r>
        <w:t xml:space="preserve">in Q1 and described the market as “bottoming.” It also characterized the decline as a mix of underlying market weakness, competitor behavior, and Xylem’s own portfolio decisions. China and walkaway headwinds were expected to be concentrated in the first half.</w:t>
      </w:r>
    </w:p>
    <w:p>
      <w:pPr>
        <w:pStyle w:val="BodyText"/>
      </w:pPr>
      <w:r>
        <w:rPr>
          <w:b/>
          <w:bCs/>
        </w:rPr>
        <w:t xml:space="preserve">Key question:</w:t>
      </w:r>
      <w:r>
        <w:t xml:space="preserve"> </w:t>
      </w:r>
      <w:r>
        <w:t xml:space="preserve">Has the first-half reset occurred as planned, or is China/European treatment weakness extending into the second half?</w:t>
      </w:r>
    </w:p>
    <w:bookmarkEnd w:id="13"/>
    <w:bookmarkStart w:id="14" w:name="X662f047c0ce22caae047d1590ff84de6c0a1cd7"/>
    <w:p>
      <w:pPr>
        <w:pStyle w:val="Heading3"/>
      </w:pPr>
      <w:r>
        <w:t xml:space="preserve">4. Applied Water’s data-center opportunity must begin translating into revenue and margin</w:t>
      </w:r>
    </w:p>
    <w:p>
      <w:pPr>
        <w:pStyle w:val="FirstParagraph"/>
      </w:pPr>
      <w:r>
        <w:t xml:space="preserve">Applied Water’s Q1 orders rose 2%, supported by large projects and data-center wins. Management said Q1 data-center orders exceeded the entire 2025 total. Yet Q1 revenue was flat, and segment margin came in below management’s expectations because of mix.</w:t>
      </w:r>
    </w:p>
    <w:p>
      <w:pPr>
        <w:pStyle w:val="BodyText"/>
      </w:pPr>
      <w:r>
        <w:t xml:space="preserve">The company expects Applied Water to improve through the year as:</w:t>
      </w:r>
    </w:p>
    <w:p>
      <w:pPr>
        <w:pStyle w:val="Compact"/>
        <w:numPr>
          <w:ilvl w:val="0"/>
          <w:numId w:val="1004"/>
        </w:numPr>
      </w:pPr>
      <w:r>
        <w:t xml:space="preserve">Data-center projects convert to revenue;</w:t>
      </w:r>
    </w:p>
    <w:p>
      <w:pPr>
        <w:pStyle w:val="Compact"/>
        <w:numPr>
          <w:ilvl w:val="0"/>
          <w:numId w:val="1004"/>
        </w:numPr>
      </w:pPr>
      <w:r>
        <w:t xml:space="preserve">Mix normalizes;</w:t>
      </w:r>
    </w:p>
    <w:p>
      <w:pPr>
        <w:pStyle w:val="Compact"/>
        <w:numPr>
          <w:ilvl w:val="0"/>
          <w:numId w:val="1004"/>
        </w:numPr>
      </w:pPr>
      <w:r>
        <w:t xml:space="preserve">Cost actions gain traction;</w:t>
      </w:r>
    </w:p>
    <w:p>
      <w:pPr>
        <w:pStyle w:val="Compact"/>
        <w:numPr>
          <w:ilvl w:val="0"/>
          <w:numId w:val="1004"/>
        </w:numPr>
      </w:pPr>
      <w:r>
        <w:t xml:space="preserve">Segment margin moves back above 20%.</w:t>
      </w:r>
    </w:p>
    <w:p>
      <w:pPr>
        <w:pStyle w:val="FirstParagraph"/>
      </w:pPr>
      <w:r>
        <w:t xml:space="preserve">This is an attractive growth vector, but the report needs to show that it is progressing beyond the order-book narrative.</w:t>
      </w:r>
    </w:p>
    <w:bookmarkEnd w:id="14"/>
    <w:bookmarkStart w:id="15" w:name="X0a115de5b472c9151fff37966e8404ccf3484e7"/>
    <w:p>
      <w:pPr>
        <w:pStyle w:val="Heading3"/>
      </w:pPr>
      <w:r>
        <w:t xml:space="preserve">5. Water Solutions &amp; Services has an unusually important order catalyst</w:t>
      </w:r>
    </w:p>
    <w:p>
      <w:pPr>
        <w:pStyle w:val="FirstParagraph"/>
      </w:pPr>
      <w:r>
        <w:t xml:space="preserve">WSS had a soft Q1: orders declined 15% and revenue fell 2%, affected by capital-project timing and weather-related service-branch disruption. But in April, Xylem booked its largest order ever: an</w:t>
      </w:r>
      <w:r>
        <w:t xml:space="preserve"> </w:t>
      </w:r>
      <w:r>
        <w:rPr>
          <w:b/>
          <w:bCs/>
        </w:rPr>
        <w:t xml:space="preserve">$850 million</w:t>
      </w:r>
      <w:r>
        <w:t xml:space="preserve">, 20-year outsourced-water contract for an existing specialty-chemicals customer.</w:t>
      </w:r>
    </w:p>
    <w:p>
      <w:pPr>
        <w:pStyle w:val="BodyText"/>
      </w:pPr>
      <w:r>
        <w:t xml:space="preserve">The contract is approximately</w:t>
      </w:r>
      <w:r>
        <w:t xml:space="preserve"> </w:t>
      </w:r>
      <w:r>
        <w:rPr>
          <w:b/>
          <w:bCs/>
        </w:rPr>
        <w:t xml:space="preserve">75% service and 25% capital</w:t>
      </w:r>
      <w:r>
        <w:t xml:space="preserve">. Management said roughly 10% of the total contract value would be realized in 2026, with the remaining capital build primarily occurring next year and the long-duration service component beginning when water starts flowing in 2028.</w:t>
      </w:r>
    </w:p>
    <w:p>
      <w:pPr>
        <w:pStyle w:val="BodyText"/>
      </w:pPr>
      <w:r>
        <w:rPr>
          <w:b/>
          <w:bCs/>
        </w:rPr>
        <w:t xml:space="preserve">What matters in Q2:</w:t>
      </w:r>
      <w:r>
        <w:t xml:space="preserve"> </w:t>
      </w:r>
      <w:r>
        <w:t xml:space="preserve">WSS order growth, the effect of the large contract on backlog/book-to-bill, and whether service operations rebounded from Q1 weather effects.</w:t>
      </w:r>
    </w:p>
    <w:bookmarkEnd w:id="15"/>
    <w:bookmarkEnd w:id="16"/>
    <w:bookmarkStart w:id="17" w:name="X2a7f61c46600e87f9e2ccb44ef5b0c84cdc3dbb"/>
    <w:p>
      <w:pPr>
        <w:pStyle w:val="Heading2"/>
      </w:pPr>
      <w:r>
        <w:t xml:space="preserve">Margins and price/cost are likely to drive the stock reaction</w:t>
      </w:r>
    </w:p>
    <w:p>
      <w:pPr>
        <w:pStyle w:val="FirstParagraph"/>
      </w:pPr>
      <w:r>
        <w:t xml:space="preserve">The Q1 margin outcome was solid: adjusted EBITDA margin reached</w:t>
      </w:r>
      <w:r>
        <w:t xml:space="preserve"> </w:t>
      </w:r>
      <w:r>
        <w:rPr>
          <w:b/>
          <w:bCs/>
        </w:rPr>
        <w:t xml:space="preserve">20.6%</w:t>
      </w:r>
      <w:r>
        <w:t xml:space="preserve">, up 20 bps despite flat organic revenue. Productivity and price outweighed inflation, unfavorable mix, and lower volume.</w:t>
      </w:r>
    </w:p>
    <w:p>
      <w:pPr>
        <w:pStyle w:val="BodyText"/>
      </w:pPr>
      <w:r>
        <w:t xml:space="preserve">For Q2, the company needs only modest margin expansion, but the full-year target implies a more substantial improvement later in the year. Investors should focus on whether management continues to describe:</w:t>
      </w:r>
    </w:p>
    <w:p>
      <w:pPr>
        <w:pStyle w:val="Compact"/>
        <w:numPr>
          <w:ilvl w:val="0"/>
          <w:numId w:val="1005"/>
        </w:numPr>
      </w:pPr>
      <w:r>
        <w:t xml:space="preserve">Price/cost as favorable, including tariffs and fuel;</w:t>
      </w:r>
    </w:p>
    <w:p>
      <w:pPr>
        <w:pStyle w:val="Compact"/>
        <w:numPr>
          <w:ilvl w:val="0"/>
          <w:numId w:val="1005"/>
        </w:numPr>
      </w:pPr>
      <w:r>
        <w:t xml:space="preserve">Productivity savings as durable;</w:t>
      </w:r>
    </w:p>
    <w:p>
      <w:pPr>
        <w:pStyle w:val="Compact"/>
        <w:numPr>
          <w:ilvl w:val="0"/>
          <w:numId w:val="1005"/>
        </w:numPr>
      </w:pPr>
      <w:r>
        <w:t xml:space="preserve">Simplification and restructuring benefits as increasingly visible;</w:t>
      </w:r>
    </w:p>
    <w:p>
      <w:pPr>
        <w:pStyle w:val="Compact"/>
        <w:numPr>
          <w:ilvl w:val="0"/>
          <w:numId w:val="1005"/>
        </w:numPr>
      </w:pPr>
      <w:r>
        <w:t xml:space="preserve">Mix pressure as temporary rather than structural.</w:t>
      </w:r>
    </w:p>
    <w:p>
      <w:pPr>
        <w:pStyle w:val="FirstParagraph"/>
      </w:pPr>
      <w:r>
        <w:t xml:space="preserve">Management had indicated that tariff changes did not have a material expected impact on full-year results as of the Q1 call. It also said incremental price actions and sourcing initiatives were intended to offset renewed cost pressure, though the company acknowledged that price recovery may not carry the same incremental margin as prior pricing actions.</w:t>
      </w:r>
    </w:p>
    <w:bookmarkEnd w:id="17"/>
    <w:bookmarkStart w:id="18" w:name="X504460d04880225614185a0fad6c4eab4c6fd2e"/>
    <w:p>
      <w:pPr>
        <w:pStyle w:val="Heading2"/>
      </w:pPr>
      <w:r>
        <w:t xml:space="preserve">Cash flow and capital allocation: a secondary, but relevant, watch item</w:t>
      </w:r>
    </w:p>
    <w:p>
      <w:pPr>
        <w:pStyle w:val="FirstParagraph"/>
      </w:pPr>
      <w:r>
        <w:t xml:space="preserve">Xylem generated positive Q1 free cash flow, though first-quarter cash generation benefited from timing and was offset by restructuring payments and higher capital expenditure. The company still targets a</w:t>
      </w:r>
      <w:r>
        <w:t xml:space="preserve"> </w:t>
      </w:r>
      <w:r>
        <w:rPr>
          <w:b/>
          <w:bCs/>
        </w:rPr>
        <w:t xml:space="preserve">10.2%–11.0% full-year free-cash-flow margin</w:t>
      </w:r>
      <w:r>
        <w:t xml:space="preserve">.</w:t>
      </w:r>
    </w:p>
    <w:p>
      <w:pPr>
        <w:pStyle w:val="BodyText"/>
      </w:pPr>
      <w:r>
        <w:t xml:space="preserve">Capital deployment has been aggressive:</w:t>
      </w:r>
    </w:p>
    <w:p>
      <w:pPr>
        <w:pStyle w:val="Compact"/>
        <w:numPr>
          <w:ilvl w:val="0"/>
          <w:numId w:val="1006"/>
        </w:numPr>
      </w:pPr>
      <w:r>
        <w:t xml:space="preserve">Xylem repurchased</w:t>
      </w:r>
      <w:r>
        <w:t xml:space="preserve"> </w:t>
      </w:r>
      <w:r>
        <w:rPr>
          <w:b/>
          <w:bCs/>
        </w:rPr>
        <w:t xml:space="preserve">$563 million</w:t>
      </w:r>
      <w:r>
        <w:t xml:space="preserve"> </w:t>
      </w:r>
      <w:r>
        <w:t xml:space="preserve">of stock in Q1 under its new $1.5 billion authorization;</w:t>
      </w:r>
    </w:p>
    <w:p>
      <w:pPr>
        <w:pStyle w:val="Compact"/>
        <w:numPr>
          <w:ilvl w:val="0"/>
          <w:numId w:val="1006"/>
        </w:numPr>
      </w:pPr>
      <w:r>
        <w:t xml:space="preserve">Management said it continued buying shares in April;</w:t>
      </w:r>
    </w:p>
    <w:p>
      <w:pPr>
        <w:pStyle w:val="Compact"/>
        <w:numPr>
          <w:ilvl w:val="0"/>
          <w:numId w:val="1006"/>
        </w:numPr>
      </w:pPr>
      <w:r>
        <w:t xml:space="preserve">The company signed a</w:t>
      </w:r>
      <w:r>
        <w:t xml:space="preserve"> </w:t>
      </w:r>
      <w:r>
        <w:rPr>
          <w:b/>
          <w:bCs/>
        </w:rPr>
        <w:t xml:space="preserve">$219 million</w:t>
      </w:r>
      <w:r>
        <w:t xml:space="preserve"> </w:t>
      </w:r>
      <w:r>
        <w:t xml:space="preserve">acquisition of a German water-quality-instrument business, intended to strengthen its high-margin sensing and analytics capabilities.</w:t>
      </w:r>
    </w:p>
    <w:p>
      <w:pPr>
        <w:pStyle w:val="FirstParagraph"/>
      </w:pPr>
      <w:r>
        <w:t xml:space="preserve">Investors will likely ask whether repurchases remain active, whether the acquisition pipeline is progressing toward the company’s stated longer-term M&amp;A ambitions, and whether cash deployment limits flexibility if operating conditions weaken.</w:t>
      </w:r>
    </w:p>
    <w:bookmarkEnd w:id="18"/>
    <w:bookmarkStart w:id="19" w:name="share-price-setup"/>
    <w:p>
      <w:pPr>
        <w:pStyle w:val="Heading2"/>
      </w:pPr>
      <w:r>
        <w:t xml:space="preserve">Share-price setup</w:t>
      </w:r>
    </w:p>
    <w:p>
      <w:pPr>
        <w:pStyle w:val="FirstParagraph"/>
      </w:pPr>
      <w:r>
        <w:t xml:space="preserve">XYL closed at</w:t>
      </w:r>
      <w:r>
        <w:t xml:space="preserve"> </w:t>
      </w:r>
      <w:r>
        <w:rPr>
          <w:b/>
          <w:bCs/>
        </w:rPr>
        <w:t xml:space="preserve">$120.19 on July 27</w:t>
      </w:r>
      <w:r>
        <w:t xml:space="preserve">, down roughly</w:t>
      </w:r>
      <w:r>
        <w:t xml:space="preserve"> </w:t>
      </w:r>
      <w:r>
        <w:rPr>
          <w:b/>
          <w:bCs/>
        </w:rPr>
        <w:t xml:space="preserve">2.7%</w:t>
      </w:r>
      <w:r>
        <w:t xml:space="preserve"> </w:t>
      </w:r>
      <w:r>
        <w:t xml:space="preserve">from $123.51 immediately before the Q1 release, but about</w:t>
      </w:r>
      <w:r>
        <w:t xml:space="preserve"> </w:t>
      </w:r>
      <w:r>
        <w:rPr>
          <w:b/>
          <w:bCs/>
        </w:rPr>
        <w:t xml:space="preserve">12.2% above</w:t>
      </w:r>
      <w:r>
        <w:t xml:space="preserve"> </w:t>
      </w:r>
      <w:r>
        <w:t xml:space="preserve">its June 10 low of $107.13.</w:t>
      </w:r>
    </w:p>
    <w:p>
      <w:pPr>
        <w:pStyle w:val="BodyText"/>
      </w:pPr>
      <w:r>
        <w:t xml:space="preserve">That setup suggests the stock is not priced for a major deterioration, but also has not fully rewarded the company for its longer-term municipal, metering, services, and data-center growth opportunities. In practical terms, an in-line Q2 with a credible full-year reiteration may be sufficient, while a clean beat plus stronger order commentary could improve sentiment. Conversely, any indication that the second-half growth or margin ramp is slipping would expose the shares to downside.</w:t>
      </w:r>
    </w:p>
    <w:bookmarkEnd w:id="19"/>
    <w:bookmarkStart w:id="23" w:name="X38573281eb5a6ad67971e99cd793b833ab3511c"/>
    <w:p>
      <w:pPr>
        <w:pStyle w:val="Heading2"/>
      </w:pPr>
      <w:r>
        <w:t xml:space="preserve">What would constitute a bullish, neutral, or bearish outcome?</w:t>
      </w:r>
    </w:p>
    <w:bookmarkStart w:id="20" w:name="bullish"/>
    <w:p>
      <w:pPr>
        <w:pStyle w:val="Heading3"/>
      </w:pPr>
      <w:r>
        <w:t xml:space="preserve">Bullish</w:t>
      </w:r>
    </w:p>
    <w:p>
      <w:pPr>
        <w:pStyle w:val="Compact"/>
        <w:numPr>
          <w:ilvl w:val="0"/>
          <w:numId w:val="1007"/>
        </w:numPr>
      </w:pPr>
      <w:r>
        <w:t xml:space="preserve">Revenue, EPS, and EBITDA margin at or above the top end of company guidance;</w:t>
      </w:r>
    </w:p>
    <w:p>
      <w:pPr>
        <w:pStyle w:val="Compact"/>
        <w:numPr>
          <w:ilvl w:val="0"/>
          <w:numId w:val="1007"/>
        </w:numPr>
      </w:pPr>
      <w:r>
        <w:t xml:space="preserve">Full-year organic-growth, margin, EPS, and free-cash-flow guidance maintained or raised;</w:t>
      </w:r>
    </w:p>
    <w:p>
      <w:pPr>
        <w:pStyle w:val="Compact"/>
        <w:numPr>
          <w:ilvl w:val="0"/>
          <w:numId w:val="1007"/>
        </w:numPr>
      </w:pPr>
      <w:r>
        <w:t xml:space="preserve">Strong MCS water-meter orders and confirmation of second-half margin expansion;</w:t>
      </w:r>
    </w:p>
    <w:p>
      <w:pPr>
        <w:pStyle w:val="Compact"/>
        <w:numPr>
          <w:ilvl w:val="0"/>
          <w:numId w:val="1007"/>
        </w:numPr>
      </w:pPr>
      <w:r>
        <w:t xml:space="preserve">Visible recovery in Water Infrastructure, particularly less China pressure;</w:t>
      </w:r>
    </w:p>
    <w:p>
      <w:pPr>
        <w:pStyle w:val="Compact"/>
        <w:numPr>
          <w:ilvl w:val="0"/>
          <w:numId w:val="1007"/>
        </w:numPr>
      </w:pPr>
      <w:r>
        <w:t xml:space="preserve">Applied Water data-center orders beginning to translate into revenue;</w:t>
      </w:r>
    </w:p>
    <w:p>
      <w:pPr>
        <w:pStyle w:val="Compact"/>
        <w:numPr>
          <w:ilvl w:val="0"/>
          <w:numId w:val="1007"/>
        </w:numPr>
      </w:pPr>
      <w:r>
        <w:t xml:space="preserve">WSS book-to-bill strengthened by the April outsourced-water award.</w:t>
      </w:r>
    </w:p>
    <w:bookmarkEnd w:id="20"/>
    <w:bookmarkStart w:id="21" w:name="neutral"/>
    <w:p>
      <w:pPr>
        <w:pStyle w:val="Heading3"/>
      </w:pPr>
      <w:r>
        <w:t xml:space="preserve">Neutral</w:t>
      </w:r>
    </w:p>
    <w:p>
      <w:pPr>
        <w:pStyle w:val="Compact"/>
        <w:numPr>
          <w:ilvl w:val="0"/>
          <w:numId w:val="1008"/>
        </w:numPr>
      </w:pPr>
      <w:r>
        <w:t xml:space="preserve">Results broadly within the Q2 ranges;</w:t>
      </w:r>
    </w:p>
    <w:p>
      <w:pPr>
        <w:pStyle w:val="Compact"/>
        <w:numPr>
          <w:ilvl w:val="0"/>
          <w:numId w:val="1008"/>
        </w:numPr>
      </w:pPr>
      <w:r>
        <w:t xml:space="preserve">Full-year guidance reiterated;</w:t>
      </w:r>
    </w:p>
    <w:p>
      <w:pPr>
        <w:pStyle w:val="Compact"/>
        <w:numPr>
          <w:ilvl w:val="0"/>
          <w:numId w:val="1008"/>
        </w:numPr>
      </w:pPr>
      <w:r>
        <w:t xml:space="preserve">Some continued softness in China, treatment, or MCS mix, but no evidence of a further deterioration;</w:t>
      </w:r>
    </w:p>
    <w:p>
      <w:pPr>
        <w:pStyle w:val="Compact"/>
        <w:numPr>
          <w:ilvl w:val="0"/>
          <w:numId w:val="1008"/>
        </w:numPr>
      </w:pPr>
      <w:r>
        <w:t xml:space="preserve">Management maintains the second-half framework without materially improving visibility.</w:t>
      </w:r>
    </w:p>
    <w:bookmarkEnd w:id="21"/>
    <w:bookmarkStart w:id="22" w:name="bearish"/>
    <w:p>
      <w:pPr>
        <w:pStyle w:val="Heading3"/>
      </w:pPr>
      <w:r>
        <w:t xml:space="preserve">Bearish</w:t>
      </w:r>
    </w:p>
    <w:p>
      <w:pPr>
        <w:pStyle w:val="Compact"/>
        <w:numPr>
          <w:ilvl w:val="0"/>
          <w:numId w:val="1009"/>
        </w:numPr>
      </w:pPr>
      <w:r>
        <w:t xml:space="preserve">Revenue or EPS misses the guided range;</w:t>
      </w:r>
    </w:p>
    <w:p>
      <w:pPr>
        <w:pStyle w:val="Compact"/>
        <w:numPr>
          <w:ilvl w:val="0"/>
          <w:numId w:val="1009"/>
        </w:numPr>
      </w:pPr>
      <w:r>
        <w:t xml:space="preserve">Full-year outlook is cut, narrowed downward, or effectively de-risked through weaker segment assumptions;</w:t>
      </w:r>
    </w:p>
    <w:p>
      <w:pPr>
        <w:pStyle w:val="Compact"/>
        <w:numPr>
          <w:ilvl w:val="0"/>
          <w:numId w:val="1009"/>
        </w:numPr>
      </w:pPr>
      <w:r>
        <w:t xml:space="preserve">MCS project conversion slips again or margin recovery is pushed out;</w:t>
      </w:r>
    </w:p>
    <w:p>
      <w:pPr>
        <w:pStyle w:val="Compact"/>
        <w:numPr>
          <w:ilvl w:val="0"/>
          <w:numId w:val="1009"/>
        </w:numPr>
      </w:pPr>
      <w:r>
        <w:t xml:space="preserve">China weakness persists beyond the expected first-half concentration;</w:t>
      </w:r>
    </w:p>
    <w:p>
      <w:pPr>
        <w:pStyle w:val="Compact"/>
        <w:numPr>
          <w:ilvl w:val="0"/>
          <w:numId w:val="1009"/>
        </w:numPr>
      </w:pPr>
      <w:r>
        <w:t xml:space="preserve">Data-center demand remains strong only in bookings, without evidence of revenue/margin conversion;</w:t>
      </w:r>
    </w:p>
    <w:p>
      <w:pPr>
        <w:pStyle w:val="Compact"/>
        <w:numPr>
          <w:ilvl w:val="0"/>
          <w:numId w:val="1009"/>
        </w:numPr>
      </w:pPr>
      <w:r>
        <w:t xml:space="preserve">Price/cost, tariffs, fuel, or mix pressure undermines the path to 22.9%–23.3% full-year EBITDA margin.</w:t>
      </w:r>
    </w:p>
    <w:bookmarkEnd w:id="22"/>
    <w:bookmarkEnd w:id="23"/>
    <w:bookmarkStart w:id="24" w:name="bottom-line"/>
    <w:p>
      <w:pPr>
        <w:pStyle w:val="Heading2"/>
      </w:pPr>
      <w:r>
        <w:t xml:space="preserve">Bottom line</w:t>
      </w:r>
    </w:p>
    <w:p>
      <w:pPr>
        <w:pStyle w:val="FirstParagraph"/>
      </w:pPr>
      <w:r>
        <w:t xml:space="preserve">The near-term hurdle is manageable: approximately 1% organic growth, modest margin expansion, and</w:t>
      </w:r>
      <w:r>
        <w:t xml:space="preserve"> </w:t>
      </w:r>
      <m:oMath>
        <m:r>
          <m:t>1.31</m:t>
        </m:r>
        <m:r>
          <m:rPr>
            <m:sty m:val="p"/>
          </m:rPr>
          <m:t>–</m:t>
        </m:r>
      </m:oMath>
      <w:r>
        <w:t xml:space="preserve">1.36 of Q2 adjusted EPS. The more important question is whether Xylem can</w:t>
      </w:r>
      <w:r>
        <w:t xml:space="preserve"> </w:t>
      </w:r>
      <w:r>
        <w:rPr>
          <w:b/>
          <w:bCs/>
        </w:rPr>
        <w:t xml:space="preserve">substantiate—not merely repeat—the second-half recovery embedded in its full-year guidance</w:t>
      </w:r>
      <w:r>
        <w:t xml:space="preserve">.</w:t>
      </w:r>
    </w:p>
    <w:p>
      <w:pPr>
        <w:pStyle w:val="BodyText"/>
      </w:pPr>
      <w:r>
        <w:t xml:space="preserve">For investors, the highest-value disclosures will be MCS order conversion and margin cadence, the trajectory of China and 80/20 headwinds, Applied Water’s data-center conversion, WSS backlog after its record contract, and the durability of productivity-led margin expansion.</w:t>
      </w:r>
    </w:p>
    <w:bookmarkEnd w:id="24"/>
    <w:bookmarkEnd w:id="2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2026-07-28T00:37:16Z</dcterms:created>
  <dcterms:modified xsi:type="dcterms:W3CDTF">2026-07-28T00:37:16Z</dcterms:modified>
</cp:coreProperties>
</file>

<file path=docProps/custom.xml><?xml version="1.0" encoding="utf-8"?>
<Properties xmlns="http://schemas.openxmlformats.org/officeDocument/2006/custom-properties" xmlns:vt="http://schemas.openxmlformats.org/officeDocument/2006/docPropsVTypes"/>
</file>