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yl-earnings-predictions--2026-07-28"/>
    <w:p>
      <w:pPr>
        <w:pStyle w:val="Heading1"/>
      </w:pPr>
      <w:r>
        <w:t xml:space="preserve">XYL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Adj. EPS (Operating, diluted)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~$1.38 vs. cons $1.335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EBITDA Margin (%)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~22.5% vs. cons 22.11%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MCS / Total Orders ($B)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~$2.55B vs. cons $2.743B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Adj. EPS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~$5.575 midpoint vs. cons $5.545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EBITDA Margin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~23.2% midpoint vs. cons 22.97%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Organic Growth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2%-4% unchanged vs. cons 2.68%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Q3 2026 Adj. EPS (Q3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~$1.45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+1.7%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+1.5% (STABILIZE)</w:t>
            </w:r>
          </w:p>
        </w:tc>
        <w:tc>
          <w:tcPr/>
          <w:p>
            <w:pPr>
              <w:pStyle w:val="Compact"/>
            </w:pPr>
            <w:r>
              <w:t xml:space="preserve">STABILIZE — modest FY raise drives slight estimate lift; short covering provides floor; no dramatic follow-through as H2 ramp still needs Q3 confirmation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2026-07-30T17:42:10Z</dcterms:created>
  <dcterms:modified xsi:type="dcterms:W3CDTF">2026-07-30T17:42:10Z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