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Bdr>
          <w:bottom w:val="single" w:sz="4" w:space="1" w:color="FB9120"/>
        </w:pBdr>
      </w:pPr>
      <w:r>
        <w:rPr>
          <w:rFonts w:ascii="Calibri" w:hAnsi="Calibri"/>
          <w:b/>
          <w:color w:val="3B4259"/>
          <w:sz w:val="40"/>
        </w:rPr>
        <w:t>Xylem Inc. (XYL) — Q2 2026 Earnings Preview</w:t>
      </w:r>
    </w:p>
    <w:tbl>
      <w:tblPr>
        <w:tblStyle w:val="TableGrid"/>
        <w:tblW w:type="auto" w:w="0"/>
        <w:tblLook w:firstColumn="1" w:firstRow="1" w:lastColumn="0" w:lastRow="0" w:noHBand="0" w:noVBand="1" w:val="04A0"/>
      </w:tblPr>
      <w:tblGrid>
        <w:gridCol w:w="4320"/>
        <w:gridCol w:w="4320"/>
      </w:tblGrid>
      <w:tr>
        <w:tc>
          <w:tcPr>
            <w:tcW w:type="dxa" w:w="4320"/>
          </w:tcPr>
          <w:p>
            <w:r>
              <w:rPr>
                <w:rFonts w:ascii="Calibri" w:hAnsi="Calibri"/>
                <w:b/>
                <w:sz w:val="22"/>
              </w:rPr>
              <w:t>Company</w:t>
            </w:r>
          </w:p>
        </w:tc>
        <w:tc>
          <w:tcPr>
            <w:tcW w:type="dxa" w:w="4320"/>
          </w:tcPr>
          <w:p>
            <w:r>
              <w:rPr>
                <w:rFonts w:ascii="Calibri" w:hAnsi="Calibri"/>
                <w:sz w:val="22"/>
              </w:rPr>
              <w:t>Xylem Inc. (XYL)</w:t>
            </w:r>
          </w:p>
        </w:tc>
      </w:tr>
      <w:tr>
        <w:tc>
          <w:tcPr>
            <w:tcW w:type="dxa" w:w="4320"/>
          </w:tcPr>
          <w:p>
            <w:r>
              <w:rPr>
                <w:rFonts w:ascii="Calibri" w:hAnsi="Calibri"/>
                <w:b/>
                <w:sz w:val="22"/>
              </w:rPr>
              <w:t>Upcoming Earnings Date</w:t>
            </w:r>
          </w:p>
        </w:tc>
        <w:tc>
          <w:tcPr>
            <w:tcW w:type="dxa" w:w="4320"/>
          </w:tcPr>
          <w:p>
            <w:r>
              <w:rPr>
                <w:rFonts w:ascii="Calibri" w:hAnsi="Calibri"/>
                <w:sz w:val="22"/>
              </w:rPr>
              <w:t>July 28, 2026 (Q2 2026)</w:t>
            </w:r>
          </w:p>
        </w:tc>
      </w:tr>
      <w:tr>
        <w:tc>
          <w:tcPr>
            <w:tcW w:type="dxa" w:w="4320"/>
          </w:tcPr>
          <w:p>
            <w:r>
              <w:rPr>
                <w:rFonts w:ascii="Calibri" w:hAnsi="Calibri"/>
                <w:b/>
                <w:sz w:val="22"/>
              </w:rPr>
              <w:t>Prepared</w:t>
            </w:r>
          </w:p>
        </w:tc>
        <w:tc>
          <w:tcPr>
            <w:tcW w:type="dxa" w:w="4320"/>
          </w:tcPr>
          <w:p>
            <w:r>
              <w:rPr>
                <w:rFonts w:ascii="Calibri" w:hAnsi="Calibri"/>
                <w:sz w:val="22"/>
              </w:rPr>
              <w:t>July 27, 2026</w:t>
            </w:r>
          </w:p>
        </w:tc>
      </w:tr>
      <w:tr>
        <w:tc>
          <w:tcPr>
            <w:tcW w:type="dxa" w:w="4320"/>
          </w:tcPr>
          <w:p>
            <w:r>
              <w:rPr>
                <w:rFonts w:ascii="Calibri" w:hAnsi="Calibri"/>
                <w:b/>
                <w:sz w:val="22"/>
              </w:rPr>
              <w:t>Sector ETF Benchmark</w:t>
            </w:r>
          </w:p>
        </w:tc>
        <w:tc>
          <w:tcPr>
            <w:tcW w:type="dxa" w:w="4320"/>
          </w:tcPr>
          <w:p>
            <w:r>
              <w:rPr>
                <w:rFonts w:ascii="Calibri" w:hAnsi="Calibri"/>
                <w:sz w:val="22"/>
              </w:rPr>
              <w:t>PHO (Invesco Water Resources ETF)</w:t>
            </w:r>
          </w:p>
        </w:tc>
      </w:tr>
    </w:tbl>
    <w:p>
      <w:pPr>
        <w:pStyle w:val="Heading2"/>
      </w:pPr>
      <w:r>
        <w:rPr>
          <w:rFonts w:ascii="Calibri" w:hAnsi="Calibri"/>
          <w:b/>
          <w:color w:val="3B4259"/>
          <w:sz w:val="28"/>
        </w:rPr>
        <w:t>1. Earnings Preview</w:t>
      </w:r>
    </w:p>
    <w:p>
      <w:r>
        <w:rPr>
          <w:rFonts w:ascii="Calibri" w:hAnsi="Calibri"/>
          <w:b/>
          <w:color w:val="525866"/>
          <w:sz w:val="22"/>
        </w:rPr>
        <w:t xml:space="preserve">Key Takeaway: </w:t>
      </w:r>
      <w:r>
        <w:rPr>
          <w:rFonts w:ascii="Calibri" w:hAnsi="Calibri"/>
          <w:color w:val="525866"/>
          <w:sz w:val="22"/>
        </w:rPr>
        <w:t>The bar into Q2 is modest — consensus sits at ~$1.33 EPS and ~1% organic growth — but the real question is whether the H2 ramp story holds, with management’s credibility on margin expansion and MCS order momentum being the key swing factors.</w:t>
      </w:r>
    </w:p>
    <w:p>
      <w:r>
        <w:rPr>
          <w:rFonts w:ascii="Calibri" w:hAnsi="Calibri"/>
          <w:color w:val="525866"/>
          <w:sz w:val="22"/>
        </w:rPr>
        <w:t xml:space="preserve">Heading into Q2 2026, XYL faces a low absolute bar — consensus calls for ~1% organic growth and ~22% EBITDA margin, both in line with management’s own guidance — but the stock’s re-rating potential hinges on whether management can reinforce confidence in the H2 acceleration thesis. The </w:t>
      </w:r>
      <w:r>
        <w:rPr>
          <w:rFonts w:ascii="Calibri" w:hAnsi="Calibri"/>
          <w:b/>
          <w:color w:val="525866"/>
          <w:sz w:val="22"/>
        </w:rPr>
        <w:t>80/20 walkaway headwind and China pressure are both concentrated in H1</w:t>
      </w:r>
      <w:r>
        <w:rPr>
          <w:rFonts w:ascii="Calibri" w:hAnsi="Calibri"/>
          <w:color w:val="525866"/>
          <w:sz w:val="22"/>
        </w:rPr>
        <w:t xml:space="preserve">, and the comp gets materially easier in H2; if MCS orders continue their double-digit trajectory and Applied Water data center momentum sustains, the setup for a guidance raise or at least a tightening of the range is plausible. Estimates have been essentially flat since the Q1 print (EPS consensus barely moved from $1.34 to $1.33), suggesting the Street is neither adding nor removing risk premium — a clean beat with constructive H2 commentary could be the catalyst for multiple re-expansion. The stock has underperformed the S&amp;P 500 by ~190bps since Q1 earnings (XYL +1.9% vs. SPY +3.8%), though it has outperformed the water sector ETF (PHO +1.1%), suggesting some idiosyncratic drag. The wildcard is the </w:t>
      </w:r>
      <w:r>
        <w:rPr>
          <w:rFonts w:ascii="Calibri" w:hAnsi="Calibri"/>
          <w:b/>
          <w:color w:val="525866"/>
          <w:sz w:val="22"/>
        </w:rPr>
        <w:t>WSS $850M outsourced contract booked in April</w:t>
      </w:r>
      <w:r>
        <w:rPr>
          <w:rFonts w:ascii="Calibri" w:hAnsi="Calibri"/>
          <w:color w:val="525866"/>
          <w:sz w:val="22"/>
        </w:rPr>
        <w:t xml:space="preserve"> — any update on revenue recognition timing or additional pipeline wins could meaningfully shift the long-cycle growth narrative.</w:t>
      </w:r>
    </w:p>
    <w:p>
      <w:pPr>
        <w:pStyle w:val="ListBullet"/>
        <w:ind w:left="360" w:hanging="360"/>
      </w:pPr>
      <w:r>
        <w:rPr>
          <w:rFonts w:ascii="Calibri" w:hAnsi="Calibri"/>
          <w:b/>
          <w:color w:val="525866"/>
          <w:sz w:val="22"/>
        </w:rPr>
        <w:t xml:space="preserve">Bar: </w:t>
      </w:r>
      <w:r>
        <w:rPr>
          <w:rFonts w:ascii="Calibri" w:hAnsi="Calibri"/>
          <w:color w:val="525866"/>
          <w:sz w:val="22"/>
        </w:rPr>
        <w:t>Consensus is a low bar — ~1% organic growth and ~22% EBITDA margin are both in line with management’s own Q2 guidance range, leaving room for a beat if execution is clean.</w:t>
      </w:r>
    </w:p>
    <w:p>
      <w:pPr>
        <w:pStyle w:val="ListBullet"/>
        <w:ind w:left="360" w:hanging="360"/>
      </w:pPr>
      <w:r>
        <w:rPr>
          <w:rFonts w:ascii="Calibri" w:hAnsi="Calibri"/>
          <w:b/>
          <w:color w:val="525866"/>
          <w:sz w:val="22"/>
        </w:rPr>
        <w:t xml:space="preserve">Guidance/Tone: </w:t>
      </w:r>
      <w:r>
        <w:rPr>
          <w:rFonts w:ascii="Calibri" w:hAnsi="Calibri"/>
          <w:color w:val="525866"/>
          <w:sz w:val="22"/>
        </w:rPr>
        <w:t>Management tone at Q1 was constructive but deliberately measured, holding EPS guidance unchanged despite share buybacks as a “prudent” signal — not a change to the underlying outlook.</w:t>
      </w:r>
    </w:p>
    <w:p>
      <w:pPr>
        <w:pStyle w:val="ListBullet"/>
        <w:ind w:left="360" w:hanging="360"/>
      </w:pPr>
      <w:r>
        <w:rPr>
          <w:rFonts w:ascii="Calibri" w:hAnsi="Calibri"/>
          <w:b/>
          <w:color w:val="525866"/>
          <w:sz w:val="22"/>
        </w:rPr>
        <w:t xml:space="preserve">Estimate Trajectory: </w:t>
      </w:r>
      <w:r>
        <w:rPr>
          <w:rFonts w:ascii="Calibri" w:hAnsi="Calibri"/>
          <w:color w:val="525866"/>
          <w:sz w:val="22"/>
        </w:rPr>
        <w:t>Estimates have been essentially flat since Q1 earnings, with EPS consensus moving from ~$1.34 to ~$1.33 — no meaningful revision risk in either direction.</w:t>
      </w:r>
    </w:p>
    <w:p>
      <w:pPr>
        <w:pStyle w:val="ListBullet"/>
        <w:ind w:left="360" w:hanging="360"/>
      </w:pPr>
      <w:r>
        <w:rPr>
          <w:rFonts w:ascii="Calibri" w:hAnsi="Calibri"/>
          <w:b/>
          <w:color w:val="525866"/>
          <w:sz w:val="22"/>
        </w:rPr>
        <w:t xml:space="preserve">Stock Setup: </w:t>
      </w:r>
      <w:r>
        <w:rPr>
          <w:rFonts w:ascii="Calibri" w:hAnsi="Calibri"/>
          <w:color w:val="525866"/>
          <w:sz w:val="22"/>
        </w:rPr>
        <w:t>XYL has underperformed the S&amp;P 500 by ~190bps since Q1 earnings but outperformed the water ETF (PHO), suggesting the stock is neither pricing in a beat nor a miss.</w:t>
      </w:r>
    </w:p>
    <w:p>
      <w:pPr>
        <w:pStyle w:val="ListBullet"/>
        <w:ind w:left="360" w:hanging="360"/>
      </w:pPr>
      <w:r>
        <w:rPr>
          <w:rFonts w:ascii="Calibri" w:hAnsi="Calibri"/>
          <w:b/>
          <w:color w:val="525866"/>
          <w:sz w:val="22"/>
        </w:rPr>
        <w:t xml:space="preserve">Wildcard: </w:t>
      </w:r>
      <w:r>
        <w:rPr>
          <w:rFonts w:ascii="Calibri" w:hAnsi="Calibri"/>
          <w:color w:val="525866"/>
          <w:sz w:val="22"/>
        </w:rPr>
        <w:t>MCS order trajectory — management guided double-digit water orders growth for the balance of 2026; any deceleration here would be the most negative surprise, while acceleration would be the most positive.</w:t>
      </w:r>
    </w:p>
    <w:p>
      <w:r>
        <w:br w:type="page"/>
      </w:r>
    </w:p>
    <w:p>
      <w:pPr>
        <w:pStyle w:val="Heading2"/>
      </w:pPr>
      <w:r>
        <w:rPr>
          <w:rFonts w:ascii="Calibri" w:hAnsi="Calibri"/>
          <w:b/>
          <w:color w:val="3B4259"/>
          <w:sz w:val="28"/>
        </w:rPr>
        <w:t>2. KPIs &amp; Consensus Expectations</w:t>
      </w:r>
    </w:p>
    <w:p>
      <w:r>
        <w:rPr>
          <w:rFonts w:ascii="Calibri" w:hAnsi="Calibri"/>
          <w:b/>
          <w:color w:val="525866"/>
          <w:sz w:val="22"/>
        </w:rPr>
        <w:t xml:space="preserve">Key Takeaway: </w:t>
      </w:r>
      <w:r>
        <w:rPr>
          <w:rFonts w:ascii="Calibri" w:hAnsi="Calibri"/>
          <w:color w:val="525866"/>
          <w:sz w:val="22"/>
        </w:rPr>
        <w:t>Consensus is a low bar on both revenue and EPS, with the EBITDA margin and MCS orders being the bigger swing factors for how the stock reacts.</w:t>
      </w:r>
    </w:p>
    <w:p>
      <w:pPr>
        <w:pStyle w:val="Heading3"/>
      </w:pPr>
      <w:r>
        <w:rPr>
          <w:rFonts w:ascii="Calibri" w:hAnsi="Calibri"/>
          <w:b/>
          <w:color w:val="3B4259"/>
          <w:sz w:val="24"/>
        </w:rPr>
        <w:t>Table 1 — Current Quarter Snapshot (Q2 2026)</w:t>
      </w:r>
    </w:p>
    <w:tbl>
      <w:tblPr>
        <w:tblStyle w:val="TableGrid"/>
        <w:tblW w:type="auto" w:w="0"/>
        <w:tblLook w:firstColumn="1" w:firstRow="1" w:lastColumn="0" w:lastRow="0" w:noHBand="0" w:noVBand="1" w:val="04A0"/>
      </w:tblPr>
      <w:tblGrid>
        <w:gridCol w:w="1234"/>
        <w:gridCol w:w="1234"/>
        <w:gridCol w:w="1234"/>
        <w:gridCol w:w="1234"/>
        <w:gridCol w:w="1234"/>
        <w:gridCol w:w="1234"/>
        <w:gridCol w:w="1234"/>
      </w:tblGrid>
      <w:tr>
        <w:tc>
          <w:tcPr>
            <w:tcW w:type="dxa" w:w="1234"/>
            <w:shd w:val="clear" w:color="auto" w:fill="3B4259"/>
          </w:tcPr>
          <w:p>
            <w:r>
              <w:rPr>
                <w:rFonts w:ascii="Calibri" w:hAnsi="Calibri"/>
                <w:b/>
                <w:color w:val="FFFFFF"/>
                <w:sz w:val="22"/>
              </w:rPr>
              <w:t>KPI</w:t>
            </w:r>
          </w:p>
        </w:tc>
        <w:tc>
          <w:tcPr>
            <w:tcW w:type="dxa" w:w="1234"/>
            <w:shd w:val="clear" w:color="auto" w:fill="3B4259"/>
          </w:tcPr>
          <w:p>
            <w:r>
              <w:rPr>
                <w:rFonts w:ascii="Calibri" w:hAnsi="Calibri"/>
                <w:b/>
                <w:color w:val="FFFFFF"/>
                <w:sz w:val="22"/>
              </w:rPr>
              <w:t>Q1 2026 Actual</w:t>
            </w:r>
          </w:p>
        </w:tc>
        <w:tc>
          <w:tcPr>
            <w:tcW w:type="dxa" w:w="1234"/>
            <w:shd w:val="clear" w:color="auto" w:fill="3B4259"/>
          </w:tcPr>
          <w:p>
            <w:r>
              <w:rPr>
                <w:rFonts w:ascii="Calibri" w:hAnsi="Calibri"/>
                <w:b/>
                <w:color w:val="FFFFFF"/>
                <w:sz w:val="22"/>
              </w:rPr>
              <w:t>Q2 2025 Actual</w:t>
            </w:r>
          </w:p>
        </w:tc>
        <w:tc>
          <w:tcPr>
            <w:tcW w:type="dxa" w:w="1234"/>
            <w:shd w:val="clear" w:color="auto" w:fill="3B4259"/>
          </w:tcPr>
          <w:p>
            <w:r>
              <w:rPr>
                <w:rFonts w:ascii="Calibri" w:hAnsi="Calibri"/>
                <w:b/>
                <w:color w:val="FFFFFF"/>
                <w:sz w:val="22"/>
              </w:rPr>
              <w:t>Q2 2026 Consensus</w:t>
            </w:r>
          </w:p>
        </w:tc>
        <w:tc>
          <w:tcPr>
            <w:tcW w:type="dxa" w:w="1234"/>
            <w:shd w:val="clear" w:color="auto" w:fill="3B4259"/>
          </w:tcPr>
          <w:p>
            <w:r>
              <w:rPr>
                <w:rFonts w:ascii="Calibri" w:hAnsi="Calibri"/>
                <w:b/>
                <w:color w:val="FFFFFF"/>
                <w:sz w:val="22"/>
              </w:rPr>
              <w:t>YoY Change</w:t>
            </w:r>
          </w:p>
        </w:tc>
        <w:tc>
          <w:tcPr>
            <w:tcW w:type="dxa" w:w="1234"/>
            <w:shd w:val="clear" w:color="auto" w:fill="3B4259"/>
          </w:tcPr>
          <w:p>
            <w:r>
              <w:rPr>
                <w:rFonts w:ascii="Calibri" w:hAnsi="Calibri"/>
                <w:b/>
                <w:color w:val="FFFFFF"/>
                <w:sz w:val="22"/>
              </w:rPr>
              <w:t>Q2 2026 Guidance</w:t>
            </w:r>
          </w:p>
        </w:tc>
        <w:tc>
          <w:tcPr>
            <w:tcW w:type="dxa" w:w="1234"/>
            <w:shd w:val="clear" w:color="auto" w:fill="3B4259"/>
          </w:tcPr>
          <w:p>
            <w:r>
              <w:rPr>
                <w:rFonts w:ascii="Calibri" w:hAnsi="Calibri"/>
                <w:b/>
                <w:color w:val="FFFFFF"/>
                <w:sz w:val="22"/>
              </w:rPr>
              <w:t>Consensus vs. Guidance</w:t>
            </w:r>
          </w:p>
        </w:tc>
      </w:tr>
      <w:tr>
        <w:tc>
          <w:tcPr>
            <w:tcW w:type="dxa" w:w="1234"/>
          </w:tcPr>
          <w:p>
            <w:r>
              <w:rPr>
                <w:rFonts w:ascii="Calibri" w:hAnsi="Calibri"/>
                <w:sz w:val="22"/>
              </w:rPr>
              <w:t>Revenue ($B)</w:t>
            </w:r>
          </w:p>
        </w:tc>
        <w:tc>
          <w:tcPr>
            <w:tcW w:type="dxa" w:w="1234"/>
          </w:tcPr>
          <w:p>
            <w:r>
              <w:rPr>
                <w:rFonts w:ascii="Calibri" w:hAnsi="Calibri"/>
                <w:sz w:val="22"/>
              </w:rPr>
              <w:t>$2.125B</w:t>
            </w:r>
          </w:p>
        </w:tc>
        <w:tc>
          <w:tcPr>
            <w:tcW w:type="dxa" w:w="1234"/>
          </w:tcPr>
          <w:p>
            <w:r>
              <w:rPr>
                <w:rFonts w:ascii="Calibri" w:hAnsi="Calibri"/>
                <w:sz w:val="22"/>
              </w:rPr>
              <w:t>$2.301B</w:t>
            </w:r>
          </w:p>
        </w:tc>
        <w:tc>
          <w:tcPr>
            <w:tcW w:type="dxa" w:w="1234"/>
          </w:tcPr>
          <w:p>
            <w:r>
              <w:rPr>
                <w:rFonts w:ascii="Calibri" w:hAnsi="Calibri"/>
                <w:sz w:val="22"/>
              </w:rPr>
              <w:t>$2.339B</w:t>
            </w:r>
          </w:p>
        </w:tc>
        <w:tc>
          <w:tcPr>
            <w:tcW w:type="dxa" w:w="1234"/>
          </w:tcPr>
          <w:p>
            <w:r>
              <w:rPr>
                <w:rFonts w:ascii="Calibri" w:hAnsi="Calibri"/>
                <w:sz w:val="22"/>
              </w:rPr>
              <w:t>+1.7%</w:t>
            </w:r>
          </w:p>
        </w:tc>
        <w:tc>
          <w:tcPr>
            <w:tcW w:type="dxa" w:w="1234"/>
          </w:tcPr>
          <w:p>
            <w:r>
              <w:rPr>
                <w:rFonts w:ascii="Calibri" w:hAnsi="Calibri"/>
                <w:sz w:val="22"/>
              </w:rPr>
              <w:t>$2.3B–$2.4B (reported 2%–3%)</w:t>
            </w:r>
          </w:p>
        </w:tc>
        <w:tc>
          <w:tcPr>
            <w:tcW w:type="dxa" w:w="1234"/>
          </w:tcPr>
          <w:p>
            <w:r>
              <w:rPr>
                <w:rFonts w:ascii="Calibri" w:hAnsi="Calibri"/>
                <w:sz w:val="22"/>
              </w:rPr>
              <w:t>In line with midpoint</w:t>
            </w:r>
          </w:p>
        </w:tc>
      </w:tr>
      <w:tr>
        <w:tc>
          <w:tcPr>
            <w:tcW w:type="dxa" w:w="1234"/>
          </w:tcPr>
          <w:p>
            <w:r>
              <w:rPr>
                <w:rFonts w:ascii="Calibri" w:hAnsi="Calibri"/>
                <w:sz w:val="22"/>
              </w:rPr>
              <w:t>Organic Revenue Growth (%)</w:t>
            </w:r>
          </w:p>
        </w:tc>
        <w:tc>
          <w:tcPr>
            <w:tcW w:type="dxa" w:w="1234"/>
          </w:tcPr>
          <w:p>
            <w:r>
              <w:rPr>
                <w:rFonts w:ascii="Calibri" w:hAnsi="Calibri"/>
                <w:sz w:val="22"/>
              </w:rPr>
              <w:t>-0.4%</w:t>
            </w:r>
          </w:p>
        </w:tc>
        <w:tc>
          <w:tcPr>
            <w:tcW w:type="dxa" w:w="1234"/>
          </w:tcPr>
          <w:p>
            <w:r>
              <w:rPr>
                <w:rFonts w:ascii="Calibri" w:hAnsi="Calibri"/>
                <w:sz w:val="22"/>
              </w:rPr>
              <w:t>+5.5%</w:t>
            </w:r>
          </w:p>
        </w:tc>
        <w:tc>
          <w:tcPr>
            <w:tcW w:type="dxa" w:w="1234"/>
          </w:tcPr>
          <w:p>
            <w:r>
              <w:rPr>
                <w:rFonts w:ascii="Calibri" w:hAnsi="Calibri"/>
                <w:sz w:val="22"/>
              </w:rPr>
              <w:t>+0.9%</w:t>
            </w:r>
          </w:p>
        </w:tc>
        <w:tc>
          <w:tcPr>
            <w:tcW w:type="dxa" w:w="1234"/>
          </w:tcPr>
          <w:p>
            <w:r>
              <w:rPr>
                <w:rFonts w:ascii="Calibri" w:hAnsi="Calibri"/>
                <w:sz w:val="22"/>
              </w:rPr>
              <w:t>-460bps</w:t>
            </w:r>
          </w:p>
        </w:tc>
        <w:tc>
          <w:tcPr>
            <w:tcW w:type="dxa" w:w="1234"/>
          </w:tcPr>
          <w:p>
            <w:r>
              <w:rPr>
                <w:rFonts w:ascii="Calibri" w:hAnsi="Calibri"/>
                <w:sz w:val="22"/>
              </w:rPr>
              <w:t>~1%</w:t>
            </w:r>
          </w:p>
        </w:tc>
        <w:tc>
          <w:tcPr>
            <w:tcW w:type="dxa" w:w="1234"/>
          </w:tcPr>
          <w:p>
            <w:r>
              <w:rPr>
                <w:rFonts w:ascii="Calibri" w:hAnsi="Calibri"/>
                <w:sz w:val="22"/>
              </w:rPr>
              <w:t>In line</w:t>
            </w:r>
          </w:p>
        </w:tc>
      </w:tr>
      <w:tr>
        <w:tc>
          <w:tcPr>
            <w:tcW w:type="dxa" w:w="1234"/>
          </w:tcPr>
          <w:p>
            <w:r>
              <w:rPr>
                <w:rFonts w:ascii="Calibri" w:hAnsi="Calibri"/>
                <w:sz w:val="22"/>
              </w:rPr>
              <w:t>Adj. EPS (Operating, diluted)</w:t>
            </w:r>
          </w:p>
        </w:tc>
        <w:tc>
          <w:tcPr>
            <w:tcW w:type="dxa" w:w="1234"/>
          </w:tcPr>
          <w:p>
            <w:r>
              <w:rPr>
                <w:rFonts w:ascii="Calibri" w:hAnsi="Calibri"/>
                <w:sz w:val="22"/>
              </w:rPr>
              <w:t>$1.12</w:t>
            </w:r>
          </w:p>
        </w:tc>
        <w:tc>
          <w:tcPr>
            <w:tcW w:type="dxa" w:w="1234"/>
          </w:tcPr>
          <w:p>
            <w:r>
              <w:rPr>
                <w:rFonts w:ascii="Calibri" w:hAnsi="Calibri"/>
                <w:sz w:val="22"/>
              </w:rPr>
              <w:t>$1.26</w:t>
            </w:r>
          </w:p>
        </w:tc>
        <w:tc>
          <w:tcPr>
            <w:tcW w:type="dxa" w:w="1234"/>
          </w:tcPr>
          <w:p>
            <w:r>
              <w:rPr>
                <w:rFonts w:ascii="Calibri" w:hAnsi="Calibri"/>
                <w:sz w:val="22"/>
              </w:rPr>
              <w:t>$1.33</w:t>
            </w:r>
          </w:p>
        </w:tc>
        <w:tc>
          <w:tcPr>
            <w:tcW w:type="dxa" w:w="1234"/>
          </w:tcPr>
          <w:p>
            <w:r>
              <w:rPr>
                <w:rFonts w:ascii="Calibri" w:hAnsi="Calibri"/>
                <w:sz w:val="22"/>
              </w:rPr>
              <w:t>+5.6%</w:t>
            </w:r>
          </w:p>
        </w:tc>
        <w:tc>
          <w:tcPr>
            <w:tcW w:type="dxa" w:w="1234"/>
          </w:tcPr>
          <w:p>
            <w:r>
              <w:rPr>
                <w:rFonts w:ascii="Calibri" w:hAnsi="Calibri"/>
                <w:sz w:val="22"/>
              </w:rPr>
              <w:t>$1.31–$1.36</w:t>
            </w:r>
          </w:p>
        </w:tc>
        <w:tc>
          <w:tcPr>
            <w:tcW w:type="dxa" w:w="1234"/>
          </w:tcPr>
          <w:p>
            <w:r>
              <w:rPr>
                <w:rFonts w:ascii="Calibri" w:hAnsi="Calibri"/>
                <w:sz w:val="22"/>
              </w:rPr>
              <w:t>In line with midpoint</w:t>
            </w:r>
          </w:p>
        </w:tc>
      </w:tr>
      <w:tr>
        <w:tc>
          <w:tcPr>
            <w:tcW w:type="dxa" w:w="1234"/>
          </w:tcPr>
          <w:p>
            <w:r>
              <w:rPr>
                <w:rFonts w:ascii="Calibri" w:hAnsi="Calibri"/>
                <w:sz w:val="22"/>
              </w:rPr>
              <w:t>Company EBITDA Margin (%)</w:t>
            </w:r>
          </w:p>
        </w:tc>
        <w:tc>
          <w:tcPr>
            <w:tcW w:type="dxa" w:w="1234"/>
          </w:tcPr>
          <w:p>
            <w:r>
              <w:rPr>
                <w:rFonts w:ascii="Calibri" w:hAnsi="Calibri"/>
                <w:sz w:val="22"/>
              </w:rPr>
              <w:t>20.6%</w:t>
            </w:r>
          </w:p>
        </w:tc>
        <w:tc>
          <w:tcPr>
            <w:tcW w:type="dxa" w:w="1234"/>
          </w:tcPr>
          <w:p>
            <w:r>
              <w:rPr>
                <w:rFonts w:ascii="Calibri" w:hAnsi="Calibri"/>
                <w:sz w:val="22"/>
              </w:rPr>
              <w:t>21.8%</w:t>
            </w:r>
          </w:p>
        </w:tc>
        <w:tc>
          <w:tcPr>
            <w:tcW w:type="dxa" w:w="1234"/>
          </w:tcPr>
          <w:p>
            <w:r>
              <w:rPr>
                <w:rFonts w:ascii="Calibri" w:hAnsi="Calibri"/>
                <w:sz w:val="22"/>
              </w:rPr>
              <w:t>22.1%</w:t>
            </w:r>
          </w:p>
        </w:tc>
        <w:tc>
          <w:tcPr>
            <w:tcW w:type="dxa" w:w="1234"/>
          </w:tcPr>
          <w:p>
            <w:r>
              <w:rPr>
                <w:rFonts w:ascii="Calibri" w:hAnsi="Calibri"/>
                <w:sz w:val="22"/>
              </w:rPr>
              <w:t>+30bps</w:t>
            </w:r>
          </w:p>
        </w:tc>
        <w:tc>
          <w:tcPr>
            <w:tcW w:type="dxa" w:w="1234"/>
          </w:tcPr>
          <w:p>
            <w:r>
              <w:rPr>
                <w:rFonts w:ascii="Calibri" w:hAnsi="Calibri"/>
                <w:sz w:val="22"/>
              </w:rPr>
              <w:t>~22%–22.5%</w:t>
            </w:r>
          </w:p>
        </w:tc>
        <w:tc>
          <w:tcPr>
            <w:tcW w:type="dxa" w:w="1234"/>
          </w:tcPr>
          <w:p>
            <w:r>
              <w:rPr>
                <w:rFonts w:ascii="Calibri" w:hAnsi="Calibri"/>
                <w:sz w:val="22"/>
              </w:rPr>
              <w:t>In line</w:t>
            </w:r>
          </w:p>
        </w:tc>
      </w:tr>
      <w:tr>
        <w:tc>
          <w:tcPr>
            <w:tcW w:type="dxa" w:w="1234"/>
          </w:tcPr>
          <w:p>
            <w:r>
              <w:rPr>
                <w:rFonts w:ascii="Calibri" w:hAnsi="Calibri"/>
                <w:sz w:val="22"/>
              </w:rPr>
              <w:t>Orders ($B)</w:t>
            </w:r>
          </w:p>
        </w:tc>
        <w:tc>
          <w:tcPr>
            <w:tcW w:type="dxa" w:w="1234"/>
          </w:tcPr>
          <w:p>
            <w:r>
              <w:rPr>
                <w:rFonts w:ascii="Calibri" w:hAnsi="Calibri"/>
                <w:sz w:val="22"/>
              </w:rPr>
              <w:t>$2.228B</w:t>
            </w:r>
          </w:p>
        </w:tc>
        <w:tc>
          <w:tcPr>
            <w:tcW w:type="dxa" w:w="1234"/>
          </w:tcPr>
          <w:p>
            <w:r>
              <w:rPr>
                <w:rFonts w:ascii="Calibri" w:hAnsi="Calibri"/>
                <w:sz w:val="22"/>
              </w:rPr>
              <w:t>$2.174B</w:t>
            </w:r>
          </w:p>
        </w:tc>
        <w:tc>
          <w:tcPr>
            <w:tcW w:type="dxa" w:w="1234"/>
          </w:tcPr>
          <w:p>
            <w:r>
              <w:rPr>
                <w:rFonts w:ascii="Calibri" w:hAnsi="Calibri"/>
                <w:sz w:val="22"/>
              </w:rPr>
              <w:t>$2.743B</w:t>
            </w:r>
          </w:p>
        </w:tc>
        <w:tc>
          <w:tcPr>
            <w:tcW w:type="dxa" w:w="1234"/>
          </w:tcPr>
          <w:p>
            <w:r>
              <w:rPr>
                <w:rFonts w:ascii="Calibri" w:hAnsi="Calibri"/>
                <w:sz w:val="22"/>
              </w:rPr>
              <w:t>+26.2%</w:t>
            </w:r>
          </w:p>
        </w:tc>
        <w:tc>
          <w:tcPr>
            <w:tcW w:type="dxa" w:w="1234"/>
          </w:tcPr>
          <w:p>
            <w:r>
              <w:rPr>
                <w:rFonts w:ascii="Calibri" w:hAnsi="Calibri"/>
                <w:sz w:val="22"/>
              </w:rPr>
              <w:t>N/A — not guided</w:t>
            </w:r>
          </w:p>
        </w:tc>
        <w:tc>
          <w:tcPr>
            <w:tcW w:type="dxa" w:w="1234"/>
          </w:tcPr>
          <w:p>
            <w:r>
              <w:rPr>
                <w:rFonts w:ascii="Calibri" w:hAnsi="Calibri"/>
                <w:sz w:val="22"/>
              </w:rPr>
              <w:t>N/A</w:t>
            </w:r>
          </w:p>
        </w:tc>
      </w:tr>
      <w:tr>
        <w:tc>
          <w:tcPr>
            <w:tcW w:type="dxa" w:w="1234"/>
          </w:tcPr>
          <w:p>
            <w:r>
              <w:rPr>
                <w:rFonts w:ascii="Calibri" w:hAnsi="Calibri"/>
                <w:sz w:val="22"/>
              </w:rPr>
              <w:t>Book-to-Bill (x)</w:t>
            </w:r>
          </w:p>
        </w:tc>
        <w:tc>
          <w:tcPr>
            <w:tcW w:type="dxa" w:w="1234"/>
          </w:tcPr>
          <w:p>
            <w:r>
              <w:rPr>
                <w:rFonts w:ascii="Calibri" w:hAnsi="Calibri"/>
                <w:sz w:val="22"/>
              </w:rPr>
              <w:t>1.05x</w:t>
            </w:r>
          </w:p>
        </w:tc>
        <w:tc>
          <w:tcPr>
            <w:tcW w:type="dxa" w:w="1234"/>
          </w:tcPr>
          <w:p>
            <w:r>
              <w:rPr>
                <w:rFonts w:ascii="Calibri" w:hAnsi="Calibri"/>
                <w:sz w:val="22"/>
              </w:rPr>
              <w:t>0.94x</w:t>
            </w:r>
          </w:p>
        </w:tc>
        <w:tc>
          <w:tcPr>
            <w:tcW w:type="dxa" w:w="1234"/>
          </w:tcPr>
          <w:p>
            <w:r>
              <w:rPr>
                <w:rFonts w:ascii="Calibri" w:hAnsi="Calibri"/>
                <w:sz w:val="22"/>
              </w:rPr>
              <w:t>1.17x</w:t>
            </w:r>
          </w:p>
        </w:tc>
        <w:tc>
          <w:tcPr>
            <w:tcW w:type="dxa" w:w="1234"/>
          </w:tcPr>
          <w:p>
            <w:r>
              <w:rPr>
                <w:rFonts w:ascii="Calibri" w:hAnsi="Calibri"/>
                <w:sz w:val="22"/>
              </w:rPr>
              <w:t>+0.23x</w:t>
            </w:r>
          </w:p>
        </w:tc>
        <w:tc>
          <w:tcPr>
            <w:tcW w:type="dxa" w:w="1234"/>
          </w:tcPr>
          <w:p>
            <w:r>
              <w:rPr>
                <w:rFonts w:ascii="Calibri" w:hAnsi="Calibri"/>
                <w:sz w:val="22"/>
              </w:rPr>
              <w:t>N/A — not guided</w:t>
            </w:r>
          </w:p>
        </w:tc>
        <w:tc>
          <w:tcPr>
            <w:tcW w:type="dxa" w:w="1234"/>
          </w:tcPr>
          <w:p>
            <w:r>
              <w:rPr>
                <w:rFonts w:ascii="Calibri" w:hAnsi="Calibri"/>
                <w:sz w:val="22"/>
              </w:rPr>
              <w:t>N/A</w:t>
            </w:r>
          </w:p>
        </w:tc>
      </w:tr>
      <w:tr>
        <w:tc>
          <w:tcPr>
            <w:tcW w:type="dxa" w:w="1234"/>
          </w:tcPr>
          <w:p>
            <w:r>
              <w:rPr>
                <w:rFonts w:ascii="Calibri" w:hAnsi="Calibri"/>
                <w:sz w:val="22"/>
              </w:rPr>
              <w:t>Free Cash Flow ($M)</w:t>
            </w:r>
          </w:p>
        </w:tc>
        <w:tc>
          <w:tcPr>
            <w:tcW w:type="dxa" w:w="1234"/>
          </w:tcPr>
          <w:p>
            <w:r>
              <w:rPr>
                <w:rFonts w:ascii="Calibri" w:hAnsi="Calibri"/>
                <w:sz w:val="22"/>
              </w:rPr>
              <w:t>$18M</w:t>
            </w:r>
          </w:p>
        </w:tc>
        <w:tc>
          <w:tcPr>
            <w:tcW w:type="dxa" w:w="1234"/>
          </w:tcPr>
          <w:p>
            <w:r>
              <w:rPr>
                <w:rFonts w:ascii="Calibri" w:hAnsi="Calibri"/>
                <w:sz w:val="22"/>
              </w:rPr>
              <w:t>$207M</w:t>
            </w:r>
          </w:p>
        </w:tc>
        <w:tc>
          <w:tcPr>
            <w:tcW w:type="dxa" w:w="1234"/>
          </w:tcPr>
          <w:p>
            <w:r>
              <w:rPr>
                <w:rFonts w:ascii="Calibri" w:hAnsi="Calibri"/>
                <w:sz w:val="22"/>
              </w:rPr>
              <w:t>$255M</w:t>
            </w:r>
          </w:p>
        </w:tc>
        <w:tc>
          <w:tcPr>
            <w:tcW w:type="dxa" w:w="1234"/>
          </w:tcPr>
          <w:p>
            <w:r>
              <w:rPr>
                <w:rFonts w:ascii="Calibri" w:hAnsi="Calibri"/>
                <w:sz w:val="22"/>
              </w:rPr>
              <w:t>+23.2%</w:t>
            </w:r>
          </w:p>
        </w:tc>
        <w:tc>
          <w:tcPr>
            <w:tcW w:type="dxa" w:w="1234"/>
          </w:tcPr>
          <w:p>
            <w:r>
              <w:rPr>
                <w:rFonts w:ascii="Calibri" w:hAnsi="Calibri"/>
                <w:sz w:val="22"/>
              </w:rPr>
              <w:t>N/A — not guided</w:t>
            </w:r>
          </w:p>
        </w:tc>
        <w:tc>
          <w:tcPr>
            <w:tcW w:type="dxa" w:w="1234"/>
          </w:tcPr>
          <w:p>
            <w:r>
              <w:rPr>
                <w:rFonts w:ascii="Calibri" w:hAnsi="Calibri"/>
                <w:sz w:val="22"/>
              </w:rPr>
              <w:t>N/A</w:t>
            </w:r>
          </w:p>
        </w:tc>
      </w:tr>
    </w:tbl>
    <w:p>
      <w:r>
        <w:rPr>
          <w:rFonts w:ascii="Calibri" w:hAnsi="Calibri"/>
          <w:i/>
          <w:color w:val="525866"/>
          <w:sz w:val="22"/>
        </w:rPr>
        <w:t xml:space="preserve">Note: </w:t>
      </w:r>
      <w:r>
        <w:rPr>
          <w:rFonts w:ascii="Calibri" w:hAnsi="Calibri"/>
          <w:i/>
          <w:color w:val="525866"/>
          <w:sz w:val="22"/>
        </w:rPr>
        <w:t>Revenue and EPS actuals sourced from Visible Alpha. Q2 2026 guidance from Q1 2026 earnings call (April 28, 2026). Orders consensus notably elevated vs. prior year, partly reflecting the $850M WSS outsourced contract booked in April.</w:t>
      </w:r>
    </w:p>
    <w:p>
      <w:pPr>
        <w:pStyle w:val="Heading3"/>
      </w:pPr>
      <w:r>
        <w:rPr>
          <w:rFonts w:ascii="Calibri" w:hAnsi="Calibri"/>
          <w:b/>
          <w:color w:val="3B4259"/>
          <w:sz w:val="24"/>
        </w:rPr>
        <w:t>Table 2 — Beat/Miss History (Last 8 Quarters, Top 2 KPIs: Revenue &amp; Adj. EPS)</w:t>
      </w:r>
    </w:p>
    <w:tbl>
      <w:tblPr>
        <w:tblStyle w:val="TableGrid"/>
        <w:tblW w:type="auto" w:w="0"/>
        <w:tblLook w:firstColumn="1" w:firstRow="1" w:lastColumn="0" w:lastRow="0" w:noHBand="0" w:noVBand="1" w:val="04A0"/>
      </w:tblPr>
      <w:tblGrid>
        <w:gridCol w:w="1080"/>
        <w:gridCol w:w="1080"/>
        <w:gridCol w:w="1080"/>
        <w:gridCol w:w="1080"/>
        <w:gridCol w:w="1080"/>
        <w:gridCol w:w="1080"/>
        <w:gridCol w:w="1080"/>
        <w:gridCol w:w="1080"/>
      </w:tblGrid>
      <w:tr>
        <w:tc>
          <w:tcPr>
            <w:tcW w:type="dxa" w:w="1080"/>
            <w:shd w:val="clear" w:color="auto" w:fill="3B4259"/>
          </w:tcPr>
          <w:p>
            <w:r>
              <w:rPr>
                <w:rFonts w:ascii="Calibri" w:hAnsi="Calibri"/>
                <w:b/>
                <w:color w:val="FFFFFF"/>
                <w:sz w:val="22"/>
              </w:rPr>
              <w:t>Quarter</w:t>
            </w:r>
          </w:p>
        </w:tc>
        <w:tc>
          <w:tcPr>
            <w:tcW w:type="dxa" w:w="1080"/>
            <w:shd w:val="clear" w:color="auto" w:fill="3B4259"/>
          </w:tcPr>
          <w:p>
            <w:r>
              <w:rPr>
                <w:rFonts w:ascii="Calibri" w:hAnsi="Calibri"/>
                <w:b/>
                <w:color w:val="FFFFFF"/>
                <w:sz w:val="22"/>
              </w:rPr>
              <w:t>Revenue Reported</w:t>
            </w:r>
          </w:p>
        </w:tc>
        <w:tc>
          <w:tcPr>
            <w:tcW w:type="dxa" w:w="1080"/>
            <w:shd w:val="clear" w:color="auto" w:fill="3B4259"/>
          </w:tcPr>
          <w:p>
            <w:r>
              <w:rPr>
                <w:rFonts w:ascii="Calibri" w:hAnsi="Calibri"/>
                <w:b/>
                <w:color w:val="FFFFFF"/>
                <w:sz w:val="22"/>
              </w:rPr>
              <w:t>Revenue Consensus</w:t>
            </w:r>
          </w:p>
        </w:tc>
        <w:tc>
          <w:tcPr>
            <w:tcW w:type="dxa" w:w="1080"/>
            <w:shd w:val="clear" w:color="auto" w:fill="3B4259"/>
          </w:tcPr>
          <w:p>
            <w:r>
              <w:rPr>
                <w:rFonts w:ascii="Calibri" w:hAnsi="Calibri"/>
                <w:b/>
                <w:color w:val="FFFFFF"/>
                <w:sz w:val="22"/>
              </w:rPr>
              <w:t>Revenue Surprise</w:t>
            </w:r>
          </w:p>
        </w:tc>
        <w:tc>
          <w:tcPr>
            <w:tcW w:type="dxa" w:w="1080"/>
            <w:shd w:val="clear" w:color="auto" w:fill="3B4259"/>
          </w:tcPr>
          <w:p>
            <w:r>
              <w:rPr>
                <w:rFonts w:ascii="Calibri" w:hAnsi="Calibri"/>
                <w:b/>
                <w:color w:val="FFFFFF"/>
                <w:sz w:val="22"/>
              </w:rPr>
              <w:t>EPS Reported</w:t>
            </w:r>
          </w:p>
        </w:tc>
        <w:tc>
          <w:tcPr>
            <w:tcW w:type="dxa" w:w="1080"/>
            <w:shd w:val="clear" w:color="auto" w:fill="3B4259"/>
          </w:tcPr>
          <w:p>
            <w:r>
              <w:rPr>
                <w:rFonts w:ascii="Calibri" w:hAnsi="Calibri"/>
                <w:b/>
                <w:color w:val="FFFFFF"/>
                <w:sz w:val="22"/>
              </w:rPr>
              <w:t>EPS Consensus</w:t>
            </w:r>
          </w:p>
        </w:tc>
        <w:tc>
          <w:tcPr>
            <w:tcW w:type="dxa" w:w="1080"/>
            <w:shd w:val="clear" w:color="auto" w:fill="3B4259"/>
          </w:tcPr>
          <w:p>
            <w:r>
              <w:rPr>
                <w:rFonts w:ascii="Calibri" w:hAnsi="Calibri"/>
                <w:b/>
                <w:color w:val="FFFFFF"/>
                <w:sz w:val="22"/>
              </w:rPr>
              <w:t>EPS Surprise</w:t>
            </w:r>
          </w:p>
        </w:tc>
        <w:tc>
          <w:tcPr>
            <w:tcW w:type="dxa" w:w="1080"/>
            <w:shd w:val="clear" w:color="auto" w:fill="3B4259"/>
          </w:tcPr>
          <w:p>
            <w:r>
              <w:rPr>
                <w:rFonts w:ascii="Calibri" w:hAnsi="Calibri"/>
                <w:b/>
                <w:color w:val="FFFFFF"/>
                <w:sz w:val="22"/>
              </w:rPr>
              <w:t>Result</w:t>
            </w:r>
          </w:p>
        </w:tc>
      </w:tr>
      <w:tr>
        <w:tc>
          <w:tcPr>
            <w:tcW w:type="dxa" w:w="1080"/>
          </w:tcPr>
          <w:p>
            <w:r>
              <w:rPr>
                <w:rFonts w:ascii="Calibri" w:hAnsi="Calibri"/>
                <w:sz w:val="22"/>
              </w:rPr>
              <w:t>Q2 2024</w:t>
            </w:r>
          </w:p>
        </w:tc>
        <w:tc>
          <w:tcPr>
            <w:tcW w:type="dxa" w:w="1080"/>
          </w:tcPr>
          <w:p>
            <w:r>
              <w:rPr>
                <w:rFonts w:ascii="Calibri" w:hAnsi="Calibri"/>
                <w:sz w:val="22"/>
              </w:rPr>
              <w:t>$2.169B</w:t>
            </w:r>
          </w:p>
        </w:tc>
        <w:tc>
          <w:tcPr>
            <w:tcW w:type="dxa" w:w="1080"/>
          </w:tcPr>
          <w:p>
            <w:r>
              <w:rPr>
                <w:rFonts w:ascii="Calibri" w:hAnsi="Calibri"/>
                <w:sz w:val="22"/>
              </w:rPr>
              <w:t>$2.143B</w:t>
            </w:r>
          </w:p>
        </w:tc>
        <w:tc>
          <w:tcPr>
            <w:tcW w:type="dxa" w:w="1080"/>
          </w:tcPr>
          <w:p>
            <w:r>
              <w:rPr>
                <w:rFonts w:ascii="Calibri" w:hAnsi="Calibri"/>
                <w:sz w:val="22"/>
              </w:rPr>
              <w:t>+1.2%</w:t>
            </w:r>
          </w:p>
        </w:tc>
        <w:tc>
          <w:tcPr>
            <w:tcW w:type="dxa" w:w="1080"/>
          </w:tcPr>
          <w:p>
            <w:r>
              <w:rPr>
                <w:rFonts w:ascii="Calibri" w:hAnsi="Calibri"/>
                <w:sz w:val="22"/>
              </w:rPr>
              <w:t>$1.09</w:t>
            </w:r>
          </w:p>
        </w:tc>
        <w:tc>
          <w:tcPr>
            <w:tcW w:type="dxa" w:w="1080"/>
          </w:tcPr>
          <w:p>
            <w:r>
              <w:rPr>
                <w:rFonts w:ascii="Calibri" w:hAnsi="Calibri"/>
                <w:sz w:val="22"/>
              </w:rPr>
              <w:t>$1.05</w:t>
            </w:r>
          </w:p>
        </w:tc>
        <w:tc>
          <w:tcPr>
            <w:tcW w:type="dxa" w:w="1080"/>
          </w:tcPr>
          <w:p>
            <w:r>
              <w:rPr>
                <w:rFonts w:ascii="Calibri" w:hAnsi="Calibri"/>
                <w:sz w:val="22"/>
              </w:rPr>
              <w:t>+3.8%</w:t>
            </w:r>
          </w:p>
        </w:tc>
        <w:tc>
          <w:tcPr>
            <w:tcW w:type="dxa" w:w="1080"/>
          </w:tcPr>
          <w:p>
            <w:r>
              <w:rPr>
                <w:rFonts w:ascii="Calibri" w:hAnsi="Calibri"/>
                <w:b/>
                <w:color w:val="30A46C"/>
                <w:sz w:val="22"/>
              </w:rPr>
              <w:t>Beat</w:t>
            </w:r>
          </w:p>
        </w:tc>
      </w:tr>
      <w:tr>
        <w:tc>
          <w:tcPr>
            <w:tcW w:type="dxa" w:w="1080"/>
          </w:tcPr>
          <w:p>
            <w:r>
              <w:rPr>
                <w:rFonts w:ascii="Calibri" w:hAnsi="Calibri"/>
                <w:sz w:val="22"/>
              </w:rPr>
              <w:t>Q3 2024</w:t>
            </w:r>
          </w:p>
        </w:tc>
        <w:tc>
          <w:tcPr>
            <w:tcW w:type="dxa" w:w="1080"/>
          </w:tcPr>
          <w:p>
            <w:r>
              <w:rPr>
                <w:rFonts w:ascii="Calibri" w:hAnsi="Calibri"/>
                <w:sz w:val="22"/>
              </w:rPr>
              <w:t>$2.104B</w:t>
            </w:r>
          </w:p>
        </w:tc>
        <w:tc>
          <w:tcPr>
            <w:tcW w:type="dxa" w:w="1080"/>
          </w:tcPr>
          <w:p>
            <w:r>
              <w:rPr>
                <w:rFonts w:ascii="Calibri" w:hAnsi="Calibri"/>
                <w:sz w:val="22"/>
              </w:rPr>
              <w:t>$2.168B</w:t>
            </w:r>
          </w:p>
        </w:tc>
        <w:tc>
          <w:tcPr>
            <w:tcW w:type="dxa" w:w="1080"/>
          </w:tcPr>
          <w:p>
            <w:r>
              <w:rPr>
                <w:rFonts w:ascii="Calibri" w:hAnsi="Calibri"/>
                <w:sz w:val="22"/>
              </w:rPr>
              <w:t>-3.0%</w:t>
            </w:r>
          </w:p>
        </w:tc>
        <w:tc>
          <w:tcPr>
            <w:tcW w:type="dxa" w:w="1080"/>
          </w:tcPr>
          <w:p>
            <w:r>
              <w:rPr>
                <w:rFonts w:ascii="Calibri" w:hAnsi="Calibri"/>
                <w:sz w:val="22"/>
              </w:rPr>
              <w:t>$1.11</w:t>
            </w:r>
          </w:p>
        </w:tc>
        <w:tc>
          <w:tcPr>
            <w:tcW w:type="dxa" w:w="1080"/>
          </w:tcPr>
          <w:p>
            <w:r>
              <w:rPr>
                <w:rFonts w:ascii="Calibri" w:hAnsi="Calibri"/>
                <w:sz w:val="22"/>
              </w:rPr>
              <w:t>$1.11</w:t>
            </w:r>
          </w:p>
        </w:tc>
        <w:tc>
          <w:tcPr>
            <w:tcW w:type="dxa" w:w="1080"/>
          </w:tcPr>
          <w:p>
            <w:r>
              <w:rPr>
                <w:rFonts w:ascii="Calibri" w:hAnsi="Calibri"/>
                <w:sz w:val="22"/>
              </w:rPr>
              <w:t>0.0%</w:t>
            </w:r>
          </w:p>
        </w:tc>
        <w:tc>
          <w:tcPr>
            <w:tcW w:type="dxa" w:w="1080"/>
          </w:tcPr>
          <w:p>
            <w:r>
              <w:rPr>
                <w:rFonts w:ascii="Calibri" w:hAnsi="Calibri"/>
                <w:b/>
                <w:color w:val="E5484D"/>
                <w:sz w:val="22"/>
              </w:rPr>
              <w:t>Miss/In-line</w:t>
            </w:r>
          </w:p>
        </w:tc>
      </w:tr>
      <w:tr>
        <w:tc>
          <w:tcPr>
            <w:tcW w:type="dxa" w:w="1080"/>
          </w:tcPr>
          <w:p>
            <w:r>
              <w:rPr>
                <w:rFonts w:ascii="Calibri" w:hAnsi="Calibri"/>
                <w:sz w:val="22"/>
              </w:rPr>
              <w:t>Q4 2024</w:t>
            </w:r>
          </w:p>
        </w:tc>
        <w:tc>
          <w:tcPr>
            <w:tcW w:type="dxa" w:w="1080"/>
          </w:tcPr>
          <w:p>
            <w:r>
              <w:rPr>
                <w:rFonts w:ascii="Calibri" w:hAnsi="Calibri"/>
                <w:sz w:val="22"/>
              </w:rPr>
              <w:t>$2.256B</w:t>
            </w:r>
          </w:p>
        </w:tc>
        <w:tc>
          <w:tcPr>
            <w:tcW w:type="dxa" w:w="1080"/>
          </w:tcPr>
          <w:p>
            <w:r>
              <w:rPr>
                <w:rFonts w:ascii="Calibri" w:hAnsi="Calibri"/>
                <w:sz w:val="22"/>
              </w:rPr>
              <w:t>$2.182B</w:t>
            </w:r>
          </w:p>
        </w:tc>
        <w:tc>
          <w:tcPr>
            <w:tcW w:type="dxa" w:w="1080"/>
          </w:tcPr>
          <w:p>
            <w:r>
              <w:rPr>
                <w:rFonts w:ascii="Calibri" w:hAnsi="Calibri"/>
                <w:sz w:val="22"/>
              </w:rPr>
              <w:t>+3.4%</w:t>
            </w:r>
          </w:p>
        </w:tc>
        <w:tc>
          <w:tcPr>
            <w:tcW w:type="dxa" w:w="1080"/>
          </w:tcPr>
          <w:p>
            <w:r>
              <w:rPr>
                <w:rFonts w:ascii="Calibri" w:hAnsi="Calibri"/>
                <w:sz w:val="22"/>
              </w:rPr>
              <w:t>$1.18</w:t>
            </w:r>
          </w:p>
        </w:tc>
        <w:tc>
          <w:tcPr>
            <w:tcW w:type="dxa" w:w="1080"/>
          </w:tcPr>
          <w:p>
            <w:r>
              <w:rPr>
                <w:rFonts w:ascii="Calibri" w:hAnsi="Calibri"/>
                <w:sz w:val="22"/>
              </w:rPr>
              <w:t>$1.13</w:t>
            </w:r>
          </w:p>
        </w:tc>
        <w:tc>
          <w:tcPr>
            <w:tcW w:type="dxa" w:w="1080"/>
          </w:tcPr>
          <w:p>
            <w:r>
              <w:rPr>
                <w:rFonts w:ascii="Calibri" w:hAnsi="Calibri"/>
                <w:sz w:val="22"/>
              </w:rPr>
              <w:t>+4.4%</w:t>
            </w:r>
          </w:p>
        </w:tc>
        <w:tc>
          <w:tcPr>
            <w:tcW w:type="dxa" w:w="1080"/>
          </w:tcPr>
          <w:p>
            <w:r>
              <w:rPr>
                <w:rFonts w:ascii="Calibri" w:hAnsi="Calibri"/>
                <w:b/>
                <w:color w:val="30A46C"/>
                <w:sz w:val="22"/>
              </w:rPr>
              <w:t>Beat</w:t>
            </w:r>
          </w:p>
        </w:tc>
      </w:tr>
      <w:tr>
        <w:tc>
          <w:tcPr>
            <w:tcW w:type="dxa" w:w="1080"/>
          </w:tcPr>
          <w:p>
            <w:r>
              <w:rPr>
                <w:rFonts w:ascii="Calibri" w:hAnsi="Calibri"/>
                <w:sz w:val="22"/>
              </w:rPr>
              <w:t>Q1 2025</w:t>
            </w:r>
          </w:p>
        </w:tc>
        <w:tc>
          <w:tcPr>
            <w:tcW w:type="dxa" w:w="1080"/>
          </w:tcPr>
          <w:p>
            <w:r>
              <w:rPr>
                <w:rFonts w:ascii="Calibri" w:hAnsi="Calibri"/>
                <w:sz w:val="22"/>
              </w:rPr>
              <w:t>$2.069B</w:t>
            </w:r>
          </w:p>
        </w:tc>
        <w:tc>
          <w:tcPr>
            <w:tcW w:type="dxa" w:w="1080"/>
          </w:tcPr>
          <w:p>
            <w:r>
              <w:rPr>
                <w:rFonts w:ascii="Calibri" w:hAnsi="Calibri"/>
                <w:sz w:val="22"/>
              </w:rPr>
              <w:t>$2.037B</w:t>
            </w:r>
          </w:p>
        </w:tc>
        <w:tc>
          <w:tcPr>
            <w:tcW w:type="dxa" w:w="1080"/>
          </w:tcPr>
          <w:p>
            <w:r>
              <w:rPr>
                <w:rFonts w:ascii="Calibri" w:hAnsi="Calibri"/>
                <w:sz w:val="22"/>
              </w:rPr>
              <w:t>+1.6%</w:t>
            </w:r>
          </w:p>
        </w:tc>
        <w:tc>
          <w:tcPr>
            <w:tcW w:type="dxa" w:w="1080"/>
          </w:tcPr>
          <w:p>
            <w:r>
              <w:rPr>
                <w:rFonts w:ascii="Calibri" w:hAnsi="Calibri"/>
                <w:sz w:val="22"/>
              </w:rPr>
              <w:t>$1.03</w:t>
            </w:r>
          </w:p>
        </w:tc>
        <w:tc>
          <w:tcPr>
            <w:tcW w:type="dxa" w:w="1080"/>
          </w:tcPr>
          <w:p>
            <w:r>
              <w:rPr>
                <w:rFonts w:ascii="Calibri" w:hAnsi="Calibri"/>
                <w:sz w:val="22"/>
              </w:rPr>
              <w:t>$0.95</w:t>
            </w:r>
          </w:p>
        </w:tc>
        <w:tc>
          <w:tcPr>
            <w:tcW w:type="dxa" w:w="1080"/>
          </w:tcPr>
          <w:p>
            <w:r>
              <w:rPr>
                <w:rFonts w:ascii="Calibri" w:hAnsi="Calibri"/>
                <w:sz w:val="22"/>
              </w:rPr>
              <w:t>+8.4%</w:t>
            </w:r>
          </w:p>
        </w:tc>
        <w:tc>
          <w:tcPr>
            <w:tcW w:type="dxa" w:w="1080"/>
          </w:tcPr>
          <w:p>
            <w:r>
              <w:rPr>
                <w:rFonts w:ascii="Calibri" w:hAnsi="Calibri"/>
                <w:b/>
                <w:color w:val="30A46C"/>
                <w:sz w:val="22"/>
              </w:rPr>
              <w:t>Beat</w:t>
            </w:r>
          </w:p>
        </w:tc>
      </w:tr>
      <w:tr>
        <w:tc>
          <w:tcPr>
            <w:tcW w:type="dxa" w:w="1080"/>
          </w:tcPr>
          <w:p>
            <w:r>
              <w:rPr>
                <w:rFonts w:ascii="Calibri" w:hAnsi="Calibri"/>
                <w:sz w:val="22"/>
              </w:rPr>
              <w:t>Q2 2025</w:t>
            </w:r>
          </w:p>
        </w:tc>
        <w:tc>
          <w:tcPr>
            <w:tcW w:type="dxa" w:w="1080"/>
          </w:tcPr>
          <w:p>
            <w:r>
              <w:rPr>
                <w:rFonts w:ascii="Calibri" w:hAnsi="Calibri"/>
                <w:sz w:val="22"/>
              </w:rPr>
              <w:t>$2.301B</w:t>
            </w:r>
          </w:p>
        </w:tc>
        <w:tc>
          <w:tcPr>
            <w:tcW w:type="dxa" w:w="1080"/>
          </w:tcPr>
          <w:p>
            <w:r>
              <w:rPr>
                <w:rFonts w:ascii="Calibri" w:hAnsi="Calibri"/>
                <w:sz w:val="22"/>
              </w:rPr>
              <w:t>$2.207B</w:t>
            </w:r>
          </w:p>
        </w:tc>
        <w:tc>
          <w:tcPr>
            <w:tcW w:type="dxa" w:w="1080"/>
          </w:tcPr>
          <w:p>
            <w:r>
              <w:rPr>
                <w:rFonts w:ascii="Calibri" w:hAnsi="Calibri"/>
                <w:sz w:val="22"/>
              </w:rPr>
              <w:t>+4.3%</w:t>
            </w:r>
          </w:p>
        </w:tc>
        <w:tc>
          <w:tcPr>
            <w:tcW w:type="dxa" w:w="1080"/>
          </w:tcPr>
          <w:p>
            <w:r>
              <w:rPr>
                <w:rFonts w:ascii="Calibri" w:hAnsi="Calibri"/>
                <w:sz w:val="22"/>
              </w:rPr>
              <w:t>$1.26</w:t>
            </w:r>
          </w:p>
        </w:tc>
        <w:tc>
          <w:tcPr>
            <w:tcW w:type="dxa" w:w="1080"/>
          </w:tcPr>
          <w:p>
            <w:r>
              <w:rPr>
                <w:rFonts w:ascii="Calibri" w:hAnsi="Calibri"/>
                <w:sz w:val="22"/>
              </w:rPr>
              <w:t>$1.14</w:t>
            </w:r>
          </w:p>
        </w:tc>
        <w:tc>
          <w:tcPr>
            <w:tcW w:type="dxa" w:w="1080"/>
          </w:tcPr>
          <w:p>
            <w:r>
              <w:rPr>
                <w:rFonts w:ascii="Calibri" w:hAnsi="Calibri"/>
                <w:sz w:val="22"/>
              </w:rPr>
              <w:t>+10.5%</w:t>
            </w:r>
          </w:p>
        </w:tc>
        <w:tc>
          <w:tcPr>
            <w:tcW w:type="dxa" w:w="1080"/>
          </w:tcPr>
          <w:p>
            <w:r>
              <w:rPr>
                <w:rFonts w:ascii="Calibri" w:hAnsi="Calibri"/>
                <w:b/>
                <w:color w:val="30A46C"/>
                <w:sz w:val="22"/>
              </w:rPr>
              <w:t>Beat</w:t>
            </w:r>
          </w:p>
        </w:tc>
      </w:tr>
      <w:tr>
        <w:tc>
          <w:tcPr>
            <w:tcW w:type="dxa" w:w="1080"/>
          </w:tcPr>
          <w:p>
            <w:r>
              <w:rPr>
                <w:rFonts w:ascii="Calibri" w:hAnsi="Calibri"/>
                <w:sz w:val="22"/>
              </w:rPr>
              <w:t>Q3 2025</w:t>
            </w:r>
          </w:p>
        </w:tc>
        <w:tc>
          <w:tcPr>
            <w:tcW w:type="dxa" w:w="1080"/>
          </w:tcPr>
          <w:p>
            <w:r>
              <w:rPr>
                <w:rFonts w:ascii="Calibri" w:hAnsi="Calibri"/>
                <w:sz w:val="22"/>
              </w:rPr>
              <w:t>$2.268B</w:t>
            </w:r>
          </w:p>
        </w:tc>
        <w:tc>
          <w:tcPr>
            <w:tcW w:type="dxa" w:w="1080"/>
          </w:tcPr>
          <w:p>
            <w:r>
              <w:rPr>
                <w:rFonts w:ascii="Calibri" w:hAnsi="Calibri"/>
                <w:sz w:val="22"/>
              </w:rPr>
              <w:t>$2.226B</w:t>
            </w:r>
          </w:p>
        </w:tc>
        <w:tc>
          <w:tcPr>
            <w:tcW w:type="dxa" w:w="1080"/>
          </w:tcPr>
          <w:p>
            <w:r>
              <w:rPr>
                <w:rFonts w:ascii="Calibri" w:hAnsi="Calibri"/>
                <w:sz w:val="22"/>
              </w:rPr>
              <w:t>+1.9%</w:t>
            </w:r>
          </w:p>
        </w:tc>
        <w:tc>
          <w:tcPr>
            <w:tcW w:type="dxa" w:w="1080"/>
          </w:tcPr>
          <w:p>
            <w:r>
              <w:rPr>
                <w:rFonts w:ascii="Calibri" w:hAnsi="Calibri"/>
                <w:sz w:val="22"/>
              </w:rPr>
              <w:t>$1.37</w:t>
            </w:r>
          </w:p>
        </w:tc>
        <w:tc>
          <w:tcPr>
            <w:tcW w:type="dxa" w:w="1080"/>
          </w:tcPr>
          <w:p>
            <w:r>
              <w:rPr>
                <w:rFonts w:ascii="Calibri" w:hAnsi="Calibri"/>
                <w:sz w:val="22"/>
              </w:rPr>
              <w:t>$1.23</w:t>
            </w:r>
          </w:p>
        </w:tc>
        <w:tc>
          <w:tcPr>
            <w:tcW w:type="dxa" w:w="1080"/>
          </w:tcPr>
          <w:p>
            <w:r>
              <w:rPr>
                <w:rFonts w:ascii="Calibri" w:hAnsi="Calibri"/>
                <w:sz w:val="22"/>
              </w:rPr>
              <w:t>+11.4%</w:t>
            </w:r>
          </w:p>
        </w:tc>
        <w:tc>
          <w:tcPr>
            <w:tcW w:type="dxa" w:w="1080"/>
          </w:tcPr>
          <w:p>
            <w:r>
              <w:rPr>
                <w:rFonts w:ascii="Calibri" w:hAnsi="Calibri"/>
                <w:b/>
                <w:color w:val="30A46C"/>
                <w:sz w:val="22"/>
              </w:rPr>
              <w:t>Beat</w:t>
            </w:r>
          </w:p>
        </w:tc>
      </w:tr>
      <w:tr>
        <w:tc>
          <w:tcPr>
            <w:tcW w:type="dxa" w:w="1080"/>
          </w:tcPr>
          <w:p>
            <w:r>
              <w:rPr>
                <w:rFonts w:ascii="Calibri" w:hAnsi="Calibri"/>
                <w:sz w:val="22"/>
              </w:rPr>
              <w:t>Q4 2025</w:t>
            </w:r>
          </w:p>
        </w:tc>
        <w:tc>
          <w:tcPr>
            <w:tcW w:type="dxa" w:w="1080"/>
          </w:tcPr>
          <w:p>
            <w:r>
              <w:rPr>
                <w:rFonts w:ascii="Calibri" w:hAnsi="Calibri"/>
                <w:sz w:val="22"/>
              </w:rPr>
              <w:t>$2.397B</w:t>
            </w:r>
          </w:p>
        </w:tc>
        <w:tc>
          <w:tcPr>
            <w:tcW w:type="dxa" w:w="1080"/>
          </w:tcPr>
          <w:p>
            <w:r>
              <w:rPr>
                <w:rFonts w:ascii="Calibri" w:hAnsi="Calibri"/>
                <w:sz w:val="22"/>
              </w:rPr>
              <w:t>$2.370B</w:t>
            </w:r>
          </w:p>
        </w:tc>
        <w:tc>
          <w:tcPr>
            <w:tcW w:type="dxa" w:w="1080"/>
          </w:tcPr>
          <w:p>
            <w:r>
              <w:rPr>
                <w:rFonts w:ascii="Calibri" w:hAnsi="Calibri"/>
                <w:sz w:val="22"/>
              </w:rPr>
              <w:t>+1.1%</w:t>
            </w:r>
          </w:p>
        </w:tc>
        <w:tc>
          <w:tcPr>
            <w:tcW w:type="dxa" w:w="1080"/>
          </w:tcPr>
          <w:p>
            <w:r>
              <w:rPr>
                <w:rFonts w:ascii="Calibri" w:hAnsi="Calibri"/>
                <w:sz w:val="22"/>
              </w:rPr>
              <w:t>$1.42</w:t>
            </w:r>
          </w:p>
        </w:tc>
        <w:tc>
          <w:tcPr>
            <w:tcW w:type="dxa" w:w="1080"/>
          </w:tcPr>
          <w:p>
            <w:r>
              <w:rPr>
                <w:rFonts w:ascii="Calibri" w:hAnsi="Calibri"/>
                <w:sz w:val="22"/>
              </w:rPr>
              <w:t>$1.41</w:t>
            </w:r>
          </w:p>
        </w:tc>
        <w:tc>
          <w:tcPr>
            <w:tcW w:type="dxa" w:w="1080"/>
          </w:tcPr>
          <w:p>
            <w:r>
              <w:rPr>
                <w:rFonts w:ascii="Calibri" w:hAnsi="Calibri"/>
                <w:sz w:val="22"/>
              </w:rPr>
              <w:t>+0.7%</w:t>
            </w:r>
          </w:p>
        </w:tc>
        <w:tc>
          <w:tcPr>
            <w:tcW w:type="dxa" w:w="1080"/>
          </w:tcPr>
          <w:p>
            <w:r>
              <w:rPr>
                <w:rFonts w:ascii="Calibri" w:hAnsi="Calibri"/>
                <w:b/>
                <w:color w:val="30A46C"/>
                <w:sz w:val="22"/>
              </w:rPr>
              <w:t>Beat</w:t>
            </w:r>
          </w:p>
        </w:tc>
      </w:tr>
      <w:tr>
        <w:tc>
          <w:tcPr>
            <w:tcW w:type="dxa" w:w="1080"/>
          </w:tcPr>
          <w:p>
            <w:r>
              <w:rPr>
                <w:rFonts w:ascii="Calibri" w:hAnsi="Calibri"/>
                <w:sz w:val="22"/>
              </w:rPr>
              <w:t>Q1 2026</w:t>
            </w:r>
          </w:p>
        </w:tc>
        <w:tc>
          <w:tcPr>
            <w:tcW w:type="dxa" w:w="1080"/>
          </w:tcPr>
          <w:p>
            <w:r>
              <w:rPr>
                <w:rFonts w:ascii="Calibri" w:hAnsi="Calibri"/>
                <w:sz w:val="22"/>
              </w:rPr>
              <w:t>$2.125B</w:t>
            </w:r>
          </w:p>
        </w:tc>
        <w:tc>
          <w:tcPr>
            <w:tcW w:type="dxa" w:w="1080"/>
          </w:tcPr>
          <w:p>
            <w:r>
              <w:rPr>
                <w:rFonts w:ascii="Calibri" w:hAnsi="Calibri"/>
                <w:sz w:val="22"/>
              </w:rPr>
              <w:t>$2.110B</w:t>
            </w:r>
          </w:p>
        </w:tc>
        <w:tc>
          <w:tcPr>
            <w:tcW w:type="dxa" w:w="1080"/>
          </w:tcPr>
          <w:p>
            <w:r>
              <w:rPr>
                <w:rFonts w:ascii="Calibri" w:hAnsi="Calibri"/>
                <w:sz w:val="22"/>
              </w:rPr>
              <w:t>+0.7%</w:t>
            </w:r>
          </w:p>
        </w:tc>
        <w:tc>
          <w:tcPr>
            <w:tcW w:type="dxa" w:w="1080"/>
          </w:tcPr>
          <w:p>
            <w:r>
              <w:rPr>
                <w:rFonts w:ascii="Calibri" w:hAnsi="Calibri"/>
                <w:sz w:val="22"/>
              </w:rPr>
              <w:t>$1.12</w:t>
            </w:r>
          </w:p>
        </w:tc>
        <w:tc>
          <w:tcPr>
            <w:tcW w:type="dxa" w:w="1080"/>
          </w:tcPr>
          <w:p>
            <w:r>
              <w:rPr>
                <w:rFonts w:ascii="Calibri" w:hAnsi="Calibri"/>
                <w:sz w:val="22"/>
              </w:rPr>
              <w:t>$1.09</w:t>
            </w:r>
          </w:p>
        </w:tc>
        <w:tc>
          <w:tcPr>
            <w:tcW w:type="dxa" w:w="1080"/>
          </w:tcPr>
          <w:p>
            <w:r>
              <w:rPr>
                <w:rFonts w:ascii="Calibri" w:hAnsi="Calibri"/>
                <w:sz w:val="22"/>
              </w:rPr>
              <w:t>+2.8%</w:t>
            </w:r>
          </w:p>
        </w:tc>
        <w:tc>
          <w:tcPr>
            <w:tcW w:type="dxa" w:w="1080"/>
          </w:tcPr>
          <w:p>
            <w:r>
              <w:rPr>
                <w:rFonts w:ascii="Calibri" w:hAnsi="Calibri"/>
                <w:b/>
                <w:color w:val="30A46C"/>
                <w:sz w:val="22"/>
              </w:rPr>
              <w:t>Beat</w:t>
            </w:r>
          </w:p>
        </w:tc>
      </w:tr>
    </w:tbl>
    <w:p>
      <w:r>
        <w:rPr>
          <w:rFonts w:ascii="Calibri" w:hAnsi="Calibri"/>
          <w:b/>
          <w:color w:val="525866"/>
          <w:sz w:val="22"/>
        </w:rPr>
        <w:t xml:space="preserve">Pattern: </w:t>
      </w:r>
      <w:r>
        <w:rPr>
          <w:rFonts w:ascii="Calibri" w:hAnsi="Calibri"/>
          <w:color w:val="525866"/>
          <w:sz w:val="22"/>
        </w:rPr>
        <w:t>XYL has beaten EPS consensus in 7 of the last 8 quarters, with an average EPS beat of ~5%. The one miss (Q3 2024) was on revenue only. The beat cadence is consistent, suggesting management guides conservatively.</w:t>
      </w:r>
    </w:p>
    <w:p>
      <w:r>
        <w:br w:type="page"/>
      </w:r>
    </w:p>
    <w:p>
      <w:pPr>
        <w:pStyle w:val="Heading2"/>
      </w:pPr>
      <w:r>
        <w:rPr>
          <w:rFonts w:ascii="Calibri" w:hAnsi="Calibri"/>
          <w:b/>
          <w:color w:val="3B4259"/>
          <w:sz w:val="28"/>
        </w:rPr>
        <w:t>3. Guidance &amp; Commentary Evolution</w:t>
      </w:r>
    </w:p>
    <w:p>
      <w:r>
        <w:rPr>
          <w:rFonts w:ascii="Calibri" w:hAnsi="Calibri"/>
          <w:b/>
          <w:color w:val="525866"/>
          <w:sz w:val="22"/>
        </w:rPr>
        <w:t xml:space="preserve">Key Takeaway: </w:t>
      </w:r>
      <w:r>
        <w:rPr>
          <w:rFonts w:ascii="Calibri" w:hAnsi="Calibri"/>
          <w:color w:val="525866"/>
          <w:sz w:val="22"/>
        </w:rPr>
        <w:t>Full-year guidance is unchanged since Q1 earnings — management held EPS range flat despite buyback tailwinds as a deliberate “prudent” signal, not a change to the underlying outlook. No post-earnings guidance revisions have been disclosed.</w:t>
      </w:r>
    </w:p>
    <w:tbl>
      <w:tblPr>
        <w:tblStyle w:val="TableGrid"/>
        <w:tblW w:type="auto" w:w="0"/>
        <w:tblLook w:firstColumn="1" w:firstRow="1" w:lastColumn="0" w:lastRow="0" w:noHBand="0" w:noVBand="1" w:val="04A0"/>
      </w:tblPr>
      <w:tblGrid>
        <w:gridCol w:w="1728"/>
        <w:gridCol w:w="1728"/>
        <w:gridCol w:w="1728"/>
        <w:gridCol w:w="1728"/>
        <w:gridCol w:w="1728"/>
      </w:tblGrid>
      <w:tr>
        <w:tc>
          <w:tcPr>
            <w:tcW w:type="dxa" w:w="1728"/>
            <w:shd w:val="clear" w:color="auto" w:fill="3B4259"/>
          </w:tcPr>
          <w:p>
            <w:r>
              <w:rPr>
                <w:rFonts w:ascii="Calibri" w:hAnsi="Calibri"/>
                <w:b/>
                <w:color w:val="FFFFFF"/>
                <w:sz w:val="22"/>
              </w:rPr>
              <w:t>Metric</w:t>
            </w:r>
          </w:p>
        </w:tc>
        <w:tc>
          <w:tcPr>
            <w:tcW w:type="dxa" w:w="1728"/>
            <w:shd w:val="clear" w:color="auto" w:fill="3B4259"/>
          </w:tcPr>
          <w:p>
            <w:r>
              <w:rPr>
                <w:rFonts w:ascii="Calibri" w:hAnsi="Calibri"/>
                <w:b/>
                <w:color w:val="FFFFFF"/>
                <w:sz w:val="22"/>
              </w:rPr>
              <w:t>Initial Guidance (Q1 2026 Earnings, Apr 28)</w:t>
            </w:r>
          </w:p>
        </w:tc>
        <w:tc>
          <w:tcPr>
            <w:tcW w:type="dxa" w:w="1728"/>
            <w:shd w:val="clear" w:color="auto" w:fill="3B4259"/>
          </w:tcPr>
          <w:p>
            <w:r>
              <w:rPr>
                <w:rFonts w:ascii="Calibri" w:hAnsi="Calibri"/>
                <w:b/>
                <w:color w:val="FFFFFF"/>
                <w:sz w:val="22"/>
              </w:rPr>
              <w:t>Revised Guidance</w:t>
            </w:r>
          </w:p>
        </w:tc>
        <w:tc>
          <w:tcPr>
            <w:tcW w:type="dxa" w:w="1728"/>
            <w:shd w:val="clear" w:color="auto" w:fill="3B4259"/>
          </w:tcPr>
          <w:p>
            <w:r>
              <w:rPr>
                <w:rFonts w:ascii="Calibri" w:hAnsi="Calibri"/>
                <w:b/>
                <w:color w:val="FFFFFF"/>
                <w:sz w:val="22"/>
              </w:rPr>
              <w:t>Current Consensus</w:t>
            </w:r>
          </w:p>
        </w:tc>
        <w:tc>
          <w:tcPr>
            <w:tcW w:type="dxa" w:w="1728"/>
            <w:shd w:val="clear" w:color="auto" w:fill="3B4259"/>
          </w:tcPr>
          <w:p>
            <w:r>
              <w:rPr>
                <w:rFonts w:ascii="Calibri" w:hAnsi="Calibri"/>
                <w:b/>
                <w:color w:val="FFFFFF"/>
                <w:sz w:val="22"/>
              </w:rPr>
              <w:t>Note</w:t>
            </w:r>
          </w:p>
        </w:tc>
      </w:tr>
      <w:tr>
        <w:tc>
          <w:tcPr>
            <w:tcW w:type="dxa" w:w="1728"/>
          </w:tcPr>
          <w:p>
            <w:r>
              <w:rPr>
                <w:rFonts w:ascii="Calibri" w:hAnsi="Calibri"/>
                <w:sz w:val="22"/>
              </w:rPr>
              <w:t>FY 2026 Revenue</w:t>
            </w:r>
          </w:p>
        </w:tc>
        <w:tc>
          <w:tcPr>
            <w:tcW w:type="dxa" w:w="1728"/>
          </w:tcPr>
          <w:p>
            <w:r>
              <w:rPr>
                <w:rFonts w:ascii="Calibri" w:hAnsi="Calibri"/>
                <w:sz w:val="22"/>
              </w:rPr>
              <w:t>$9.2B–$9.3B (2%–3% reported growth)</w:t>
            </w:r>
          </w:p>
        </w:tc>
        <w:tc>
          <w:tcPr>
            <w:tcW w:type="dxa" w:w="1728"/>
          </w:tcPr>
          <w:p>
            <w:r>
              <w:rPr>
                <w:rFonts w:ascii="Calibri" w:hAnsi="Calibri"/>
                <w:sz w:val="22"/>
              </w:rPr>
              <w:t>—</w:t>
            </w:r>
          </w:p>
        </w:tc>
        <w:tc>
          <w:tcPr>
            <w:tcW w:type="dxa" w:w="1728"/>
          </w:tcPr>
          <w:p>
            <w:r>
              <w:rPr>
                <w:rFonts w:ascii="Calibri" w:hAnsi="Calibri"/>
                <w:sz w:val="22"/>
              </w:rPr>
              <w:t>$9.25B</w:t>
            </w:r>
          </w:p>
        </w:tc>
        <w:tc>
          <w:tcPr>
            <w:tcW w:type="dxa" w:w="1728"/>
          </w:tcPr>
          <w:p>
            <w:r>
              <w:rPr>
                <w:rFonts w:ascii="Calibri" w:hAnsi="Calibri"/>
                <w:sz w:val="22"/>
              </w:rPr>
              <w:t>Raised from $9.1B–$9.2B at Q1 due to delayed MCS divestiture closing; organic growth 2%–4% unchanged</w:t>
            </w:r>
          </w:p>
        </w:tc>
      </w:tr>
      <w:tr>
        <w:tc>
          <w:tcPr>
            <w:tcW w:type="dxa" w:w="1728"/>
          </w:tcPr>
          <w:p>
            <w:r>
              <w:rPr>
                <w:rFonts w:ascii="Calibri" w:hAnsi="Calibri"/>
                <w:sz w:val="22"/>
              </w:rPr>
              <w:t>FY 2026 Organic Growth</w:t>
            </w:r>
          </w:p>
        </w:tc>
        <w:tc>
          <w:tcPr>
            <w:tcW w:type="dxa" w:w="1728"/>
          </w:tcPr>
          <w:p>
            <w:r>
              <w:rPr>
                <w:rFonts w:ascii="Calibri" w:hAnsi="Calibri"/>
                <w:sz w:val="22"/>
              </w:rPr>
              <w:t>2%–4%</w:t>
            </w:r>
          </w:p>
        </w:tc>
        <w:tc>
          <w:tcPr>
            <w:tcW w:type="dxa" w:w="1728"/>
          </w:tcPr>
          <w:p>
            <w:r>
              <w:rPr>
                <w:rFonts w:ascii="Calibri" w:hAnsi="Calibri"/>
                <w:sz w:val="22"/>
              </w:rPr>
              <w:t>—</w:t>
            </w:r>
          </w:p>
        </w:tc>
        <w:tc>
          <w:tcPr>
            <w:tcW w:type="dxa" w:w="1728"/>
          </w:tcPr>
          <w:p>
            <w:r>
              <w:rPr>
                <w:rFonts w:ascii="Calibri" w:hAnsi="Calibri"/>
                <w:sz w:val="22"/>
              </w:rPr>
              <w:t>2.7%</w:t>
            </w:r>
          </w:p>
        </w:tc>
        <w:tc>
          <w:tcPr>
            <w:tcW w:type="dxa" w:w="1728"/>
          </w:tcPr>
          <w:p>
            <w:r>
              <w:rPr>
                <w:rFonts w:ascii="Calibri" w:hAnsi="Calibri"/>
                <w:sz w:val="22"/>
              </w:rPr>
              <w:t>Unchanged; H2 weighted with China/walkaway headwinds concentrated in H1</w:t>
            </w:r>
          </w:p>
        </w:tc>
      </w:tr>
      <w:tr>
        <w:tc>
          <w:tcPr>
            <w:tcW w:type="dxa" w:w="1728"/>
          </w:tcPr>
          <w:p>
            <w:r>
              <w:rPr>
                <w:rFonts w:ascii="Calibri" w:hAnsi="Calibri"/>
                <w:sz w:val="22"/>
              </w:rPr>
              <w:t>FY 2026 EBITDA Margin</w:t>
            </w:r>
          </w:p>
        </w:tc>
        <w:tc>
          <w:tcPr>
            <w:tcW w:type="dxa" w:w="1728"/>
          </w:tcPr>
          <w:p>
            <w:r>
              <w:rPr>
                <w:rFonts w:ascii="Calibri" w:hAnsi="Calibri"/>
                <w:sz w:val="22"/>
              </w:rPr>
              <w:t>22.9%–23.3%</w:t>
            </w:r>
          </w:p>
        </w:tc>
        <w:tc>
          <w:tcPr>
            <w:tcW w:type="dxa" w:w="1728"/>
          </w:tcPr>
          <w:p>
            <w:r>
              <w:rPr>
                <w:rFonts w:ascii="Calibri" w:hAnsi="Calibri"/>
                <w:sz w:val="22"/>
              </w:rPr>
              <w:t>—</w:t>
            </w:r>
          </w:p>
        </w:tc>
        <w:tc>
          <w:tcPr>
            <w:tcW w:type="dxa" w:w="1728"/>
          </w:tcPr>
          <w:p>
            <w:r>
              <w:rPr>
                <w:rFonts w:ascii="Calibri" w:hAnsi="Calibri"/>
                <w:sz w:val="22"/>
              </w:rPr>
              <w:t>23.0%</w:t>
            </w:r>
          </w:p>
        </w:tc>
        <w:tc>
          <w:tcPr>
            <w:tcW w:type="dxa" w:w="1728"/>
          </w:tcPr>
          <w:p>
            <w:r>
              <w:rPr>
                <w:rFonts w:ascii="Calibri" w:hAnsi="Calibri"/>
                <w:sz w:val="22"/>
              </w:rPr>
              <w:t>Unchanged; 70–110bps expansion vs. prior year; significant H2 ramp expected</w:t>
            </w:r>
          </w:p>
        </w:tc>
      </w:tr>
      <w:tr>
        <w:tc>
          <w:tcPr>
            <w:tcW w:type="dxa" w:w="1728"/>
          </w:tcPr>
          <w:p>
            <w:r>
              <w:rPr>
                <w:rFonts w:ascii="Calibri" w:hAnsi="Calibri"/>
                <w:sz w:val="22"/>
              </w:rPr>
              <w:t>FY 2026 Adj. EPS</w:t>
            </w:r>
          </w:p>
        </w:tc>
        <w:tc>
          <w:tcPr>
            <w:tcW w:type="dxa" w:w="1728"/>
          </w:tcPr>
          <w:p>
            <w:r>
              <w:rPr>
                <w:rFonts w:ascii="Calibri" w:hAnsi="Calibri"/>
                <w:sz w:val="22"/>
              </w:rPr>
              <w:t>$5.35–$5.60</w:t>
            </w:r>
          </w:p>
        </w:tc>
        <w:tc>
          <w:tcPr>
            <w:tcW w:type="dxa" w:w="1728"/>
          </w:tcPr>
          <w:p>
            <w:r>
              <w:rPr>
                <w:rFonts w:ascii="Calibri" w:hAnsi="Calibri"/>
                <w:sz w:val="22"/>
              </w:rPr>
              <w:t>—</w:t>
            </w:r>
          </w:p>
        </w:tc>
        <w:tc>
          <w:tcPr>
            <w:tcW w:type="dxa" w:w="1728"/>
          </w:tcPr>
          <w:p>
            <w:r>
              <w:rPr>
                <w:rFonts w:ascii="Calibri" w:hAnsi="Calibri"/>
                <w:sz w:val="22"/>
              </w:rPr>
              <w:t>$5.54</w:t>
            </w:r>
          </w:p>
        </w:tc>
        <w:tc>
          <w:tcPr>
            <w:tcW w:type="dxa" w:w="1728"/>
          </w:tcPr>
          <w:p>
            <w:r>
              <w:rPr>
                <w:rFonts w:ascii="Calibri" w:hAnsi="Calibri"/>
                <w:sz w:val="22"/>
              </w:rPr>
              <w:t>Held flat despite buyback benefit; management described as “prudent” approach, not a change to outlook</w:t>
            </w:r>
          </w:p>
        </w:tc>
      </w:tr>
      <w:tr>
        <w:tc>
          <w:tcPr>
            <w:tcW w:type="dxa" w:w="1728"/>
          </w:tcPr>
          <w:p>
            <w:r>
              <w:rPr>
                <w:rFonts w:ascii="Calibri" w:hAnsi="Calibri"/>
                <w:sz w:val="22"/>
              </w:rPr>
              <w:t>Q2 2026 Revenue</w:t>
            </w:r>
          </w:p>
        </w:tc>
        <w:tc>
          <w:tcPr>
            <w:tcW w:type="dxa" w:w="1728"/>
          </w:tcPr>
          <w:p>
            <w:r>
              <w:rPr>
                <w:rFonts w:ascii="Calibri" w:hAnsi="Calibri"/>
                <w:sz w:val="22"/>
              </w:rPr>
              <w:t>2%–3% reported; ~1% organic</w:t>
            </w:r>
          </w:p>
        </w:tc>
        <w:tc>
          <w:tcPr>
            <w:tcW w:type="dxa" w:w="1728"/>
          </w:tcPr>
          <w:p>
            <w:r>
              <w:rPr>
                <w:rFonts w:ascii="Calibri" w:hAnsi="Calibri"/>
                <w:sz w:val="22"/>
              </w:rPr>
              <w:t>—</w:t>
            </w:r>
          </w:p>
        </w:tc>
        <w:tc>
          <w:tcPr>
            <w:tcW w:type="dxa" w:w="1728"/>
          </w:tcPr>
          <w:p>
            <w:r>
              <w:rPr>
                <w:rFonts w:ascii="Calibri" w:hAnsi="Calibri"/>
                <w:sz w:val="22"/>
              </w:rPr>
              <w:t>$2.339B</w:t>
            </w:r>
          </w:p>
        </w:tc>
        <w:tc>
          <w:tcPr>
            <w:tcW w:type="dxa" w:w="1728"/>
          </w:tcPr>
          <w:p>
            <w:r>
              <w:rPr>
                <w:rFonts w:ascii="Calibri" w:hAnsi="Calibri"/>
                <w:sz w:val="22"/>
              </w:rPr>
              <w:t>In line with guidance midpoint</w:t>
            </w:r>
          </w:p>
        </w:tc>
      </w:tr>
      <w:tr>
        <w:tc>
          <w:tcPr>
            <w:tcW w:type="dxa" w:w="1728"/>
          </w:tcPr>
          <w:p>
            <w:r>
              <w:rPr>
                <w:rFonts w:ascii="Calibri" w:hAnsi="Calibri"/>
                <w:sz w:val="22"/>
              </w:rPr>
              <w:t>Q2 2026 EBITDA Margin</w:t>
            </w:r>
          </w:p>
        </w:tc>
        <w:tc>
          <w:tcPr>
            <w:tcW w:type="dxa" w:w="1728"/>
          </w:tcPr>
          <w:p>
            <w:r>
              <w:rPr>
                <w:rFonts w:ascii="Calibri" w:hAnsi="Calibri"/>
                <w:sz w:val="22"/>
              </w:rPr>
              <w:t>~22%–22.5%</w:t>
            </w:r>
          </w:p>
        </w:tc>
        <w:tc>
          <w:tcPr>
            <w:tcW w:type="dxa" w:w="1728"/>
          </w:tcPr>
          <w:p>
            <w:r>
              <w:rPr>
                <w:rFonts w:ascii="Calibri" w:hAnsi="Calibri"/>
                <w:sz w:val="22"/>
              </w:rPr>
              <w:t>—</w:t>
            </w:r>
          </w:p>
        </w:tc>
        <w:tc>
          <w:tcPr>
            <w:tcW w:type="dxa" w:w="1728"/>
          </w:tcPr>
          <w:p>
            <w:r>
              <w:rPr>
                <w:rFonts w:ascii="Calibri" w:hAnsi="Calibri"/>
                <w:sz w:val="22"/>
              </w:rPr>
              <w:t>22.1%</w:t>
            </w:r>
          </w:p>
        </w:tc>
        <w:tc>
          <w:tcPr>
            <w:tcW w:type="dxa" w:w="1728"/>
          </w:tcPr>
          <w:p>
            <w:r>
              <w:rPr>
                <w:rFonts w:ascii="Calibri" w:hAnsi="Calibri"/>
                <w:sz w:val="22"/>
              </w:rPr>
              <w:t>Up 20–70bps YoY; driven by price, productivity, higher volumes</w:t>
            </w:r>
          </w:p>
        </w:tc>
      </w:tr>
      <w:tr>
        <w:tc>
          <w:tcPr>
            <w:tcW w:type="dxa" w:w="1728"/>
          </w:tcPr>
          <w:p>
            <w:r>
              <w:rPr>
                <w:rFonts w:ascii="Calibri" w:hAnsi="Calibri"/>
                <w:sz w:val="22"/>
              </w:rPr>
              <w:t>Q2 2026 Adj. EPS</w:t>
            </w:r>
          </w:p>
        </w:tc>
        <w:tc>
          <w:tcPr>
            <w:tcW w:type="dxa" w:w="1728"/>
          </w:tcPr>
          <w:p>
            <w:r>
              <w:rPr>
                <w:rFonts w:ascii="Calibri" w:hAnsi="Calibri"/>
                <w:sz w:val="22"/>
              </w:rPr>
              <w:t>$1.31–$1.36</w:t>
            </w:r>
          </w:p>
        </w:tc>
        <w:tc>
          <w:tcPr>
            <w:tcW w:type="dxa" w:w="1728"/>
          </w:tcPr>
          <w:p>
            <w:r>
              <w:rPr>
                <w:rFonts w:ascii="Calibri" w:hAnsi="Calibri"/>
                <w:sz w:val="22"/>
              </w:rPr>
              <w:t>—</w:t>
            </w:r>
          </w:p>
        </w:tc>
        <w:tc>
          <w:tcPr>
            <w:tcW w:type="dxa" w:w="1728"/>
          </w:tcPr>
          <w:p>
            <w:r>
              <w:rPr>
                <w:rFonts w:ascii="Calibri" w:hAnsi="Calibri"/>
                <w:sz w:val="22"/>
              </w:rPr>
              <w:t>$1.33</w:t>
            </w:r>
          </w:p>
        </w:tc>
        <w:tc>
          <w:tcPr>
            <w:tcW w:type="dxa" w:w="1728"/>
          </w:tcPr>
          <w:p>
            <w:r>
              <w:rPr>
                <w:rFonts w:ascii="Calibri" w:hAnsi="Calibri"/>
                <w:sz w:val="22"/>
              </w:rPr>
              <w:t>In line with midpoint</w:t>
            </w:r>
          </w:p>
        </w:tc>
      </w:tr>
      <w:tr>
        <w:tc>
          <w:tcPr>
            <w:tcW w:type="dxa" w:w="1728"/>
          </w:tcPr>
          <w:p>
            <w:r>
              <w:rPr>
                <w:rFonts w:ascii="Calibri" w:hAnsi="Calibri"/>
                <w:sz w:val="22"/>
              </w:rPr>
              <w:t>MCS EBITDA Margin (exit rate)</w:t>
            </w:r>
          </w:p>
        </w:tc>
        <w:tc>
          <w:tcPr>
            <w:tcW w:type="dxa" w:w="1728"/>
          </w:tcPr>
          <w:p>
            <w:r>
              <w:rPr>
                <w:rFonts w:ascii="Calibri" w:hAnsi="Calibri"/>
                <w:sz w:val="22"/>
              </w:rPr>
              <w:t>Well in excess of 25% post-divestiture</w:t>
            </w:r>
          </w:p>
        </w:tc>
        <w:tc>
          <w:tcPr>
            <w:tcW w:type="dxa" w:w="1728"/>
          </w:tcPr>
          <w:p>
            <w:r>
              <w:rPr>
                <w:rFonts w:ascii="Calibri" w:hAnsi="Calibri"/>
                <w:sz w:val="22"/>
              </w:rPr>
              <w:t>—</w:t>
            </w:r>
          </w:p>
        </w:tc>
        <w:tc>
          <w:tcPr>
            <w:tcW w:type="dxa" w:w="1728"/>
          </w:tcPr>
          <w:p>
            <w:r>
              <w:rPr>
                <w:rFonts w:ascii="Calibri" w:hAnsi="Calibri"/>
                <w:sz w:val="22"/>
              </w:rPr>
              <w:t>N/A</w:t>
            </w:r>
          </w:p>
        </w:tc>
        <w:tc>
          <w:tcPr>
            <w:tcW w:type="dxa" w:w="1728"/>
          </w:tcPr>
          <w:p>
            <w:r>
              <w:rPr>
                <w:rFonts w:ascii="Calibri" w:hAnsi="Calibri"/>
                <w:sz w:val="22"/>
              </w:rPr>
              <w:t>Post international metering divestiture; significant H2 expansion expected</w:t>
            </w:r>
          </w:p>
        </w:tc>
      </w:tr>
    </w:tbl>
    <w:p>
      <w:r>
        <w:br w:type="page"/>
      </w:r>
    </w:p>
    <w:p>
      <w:pPr>
        <w:pStyle w:val="Heading2"/>
      </w:pPr>
      <w:r>
        <w:rPr>
          <w:rFonts w:ascii="Calibri" w:hAnsi="Calibri"/>
          <w:b/>
          <w:color w:val="3B4259"/>
          <w:sz w:val="28"/>
        </w:rPr>
        <w:t>4. Guidance vs. Estimate Revision Tracker</w:t>
      </w:r>
    </w:p>
    <w:p>
      <w:r>
        <w:rPr>
          <w:rFonts w:ascii="Calibri" w:hAnsi="Calibri"/>
          <w:b/>
          <w:color w:val="525866"/>
          <w:sz w:val="22"/>
        </w:rPr>
        <w:t xml:space="preserve">Key Takeaway: </w:t>
      </w:r>
      <w:r>
        <w:rPr>
          <w:rFonts w:ascii="Calibri" w:hAnsi="Calibri"/>
          <w:color w:val="525866"/>
          <w:sz w:val="22"/>
        </w:rPr>
        <w:t>Estimates have been essentially flat since Q1 earnings — EPS barely moved and revenue is tracking in line with guidance — suggesting the Street is not adding or removing risk premium ahead of the print. The gap between current consensus and guidance midpoints is minimal, leaving little cushion if execution disappoints.</w:t>
      </w:r>
    </w:p>
    <w:tbl>
      <w:tblPr>
        <w:tblStyle w:val="TableGrid"/>
        <w:tblW w:type="auto" w:w="0"/>
        <w:tblLook w:firstColumn="1" w:firstRow="1" w:lastColumn="0" w:lastRow="0" w:noHBand="0" w:noVBand="1" w:val="04A0"/>
      </w:tblPr>
      <w:tblGrid>
        <w:gridCol w:w="960"/>
        <w:gridCol w:w="960"/>
        <w:gridCol w:w="960"/>
        <w:gridCol w:w="960"/>
        <w:gridCol w:w="960"/>
        <w:gridCol w:w="960"/>
        <w:gridCol w:w="960"/>
        <w:gridCol w:w="960"/>
        <w:gridCol w:w="960"/>
      </w:tblGrid>
      <w:tr>
        <w:tc>
          <w:tcPr>
            <w:tcW w:type="dxa" w:w="960"/>
            <w:shd w:val="clear" w:color="auto" w:fill="3B4259"/>
          </w:tcPr>
          <w:p>
            <w:r>
              <w:rPr>
                <w:rFonts w:ascii="Calibri" w:hAnsi="Calibri"/>
                <w:b/>
                <w:color w:val="FFFFFF"/>
                <w:sz w:val="22"/>
              </w:rPr>
              <w:t>KPI</w:t>
            </w:r>
          </w:p>
        </w:tc>
        <w:tc>
          <w:tcPr>
            <w:tcW w:type="dxa" w:w="960"/>
            <w:shd w:val="clear" w:color="auto" w:fill="3B4259"/>
          </w:tcPr>
          <w:p>
            <w:r>
              <w:rPr>
                <w:rFonts w:ascii="Calibri" w:hAnsi="Calibri"/>
                <w:b/>
                <w:color w:val="FFFFFF"/>
                <w:sz w:val="22"/>
              </w:rPr>
              <w:t>Period</w:t>
            </w:r>
          </w:p>
        </w:tc>
        <w:tc>
          <w:tcPr>
            <w:tcW w:type="dxa" w:w="960"/>
            <w:shd w:val="clear" w:color="auto" w:fill="3B4259"/>
          </w:tcPr>
          <w:p>
            <w:r>
              <w:rPr>
                <w:rFonts w:ascii="Calibri" w:hAnsi="Calibri"/>
                <w:b/>
                <w:color w:val="FFFFFF"/>
                <w:sz w:val="22"/>
              </w:rPr>
              <w:t>Estimate (~May 5, 2026)</w:t>
            </w:r>
          </w:p>
        </w:tc>
        <w:tc>
          <w:tcPr>
            <w:tcW w:type="dxa" w:w="960"/>
            <w:shd w:val="clear" w:color="auto" w:fill="3B4259"/>
          </w:tcPr>
          <w:p>
            <w:r>
              <w:rPr>
                <w:rFonts w:ascii="Calibri" w:hAnsi="Calibri"/>
                <w:b/>
                <w:color w:val="FFFFFF"/>
                <w:sz w:val="22"/>
              </w:rPr>
              <w:t>Current Consensus</w:t>
            </w:r>
          </w:p>
        </w:tc>
        <w:tc>
          <w:tcPr>
            <w:tcW w:type="dxa" w:w="960"/>
            <w:shd w:val="clear" w:color="auto" w:fill="3B4259"/>
          </w:tcPr>
          <w:p>
            <w:r>
              <w:rPr>
                <w:rFonts w:ascii="Calibri" w:hAnsi="Calibri"/>
                <w:b/>
                <w:color w:val="FFFFFF"/>
                <w:sz w:val="22"/>
              </w:rPr>
              <w:t>Estimate Δ (%)</w:t>
            </w:r>
          </w:p>
        </w:tc>
        <w:tc>
          <w:tcPr>
            <w:tcW w:type="dxa" w:w="960"/>
            <w:shd w:val="clear" w:color="auto" w:fill="3B4259"/>
          </w:tcPr>
          <w:p>
            <w:r>
              <w:rPr>
                <w:rFonts w:ascii="Calibri" w:hAnsi="Calibri"/>
                <w:b/>
                <w:color w:val="FFFFFF"/>
                <w:sz w:val="22"/>
              </w:rPr>
              <w:t>Initial Guidance (Q1 Call)</w:t>
            </w:r>
          </w:p>
        </w:tc>
        <w:tc>
          <w:tcPr>
            <w:tcW w:type="dxa" w:w="960"/>
            <w:shd w:val="clear" w:color="auto" w:fill="3B4259"/>
          </w:tcPr>
          <w:p>
            <w:r>
              <w:rPr>
                <w:rFonts w:ascii="Calibri" w:hAnsi="Calibri"/>
                <w:b/>
                <w:color w:val="FFFFFF"/>
                <w:sz w:val="22"/>
              </w:rPr>
              <w:t>Current Guidance</w:t>
            </w:r>
          </w:p>
        </w:tc>
        <w:tc>
          <w:tcPr>
            <w:tcW w:type="dxa" w:w="960"/>
            <w:shd w:val="clear" w:color="auto" w:fill="3B4259"/>
          </w:tcPr>
          <w:p>
            <w:r>
              <w:rPr>
                <w:rFonts w:ascii="Calibri" w:hAnsi="Calibri"/>
                <w:b/>
                <w:color w:val="FFFFFF"/>
                <w:sz w:val="22"/>
              </w:rPr>
              <w:t>Guidance Δ</w:t>
            </w:r>
          </w:p>
        </w:tc>
        <w:tc>
          <w:tcPr>
            <w:tcW w:type="dxa" w:w="960"/>
            <w:shd w:val="clear" w:color="auto" w:fill="3B4259"/>
          </w:tcPr>
          <w:p>
            <w:r>
              <w:rPr>
                <w:rFonts w:ascii="Calibri" w:hAnsi="Calibri"/>
                <w:b/>
                <w:color w:val="FFFFFF"/>
                <w:sz w:val="22"/>
              </w:rPr>
              <w:t>Consensus vs. Guidance</w:t>
            </w:r>
          </w:p>
        </w:tc>
      </w:tr>
      <w:tr>
        <w:tc>
          <w:tcPr>
            <w:tcW w:type="dxa" w:w="960"/>
          </w:tcPr>
          <w:p>
            <w:r>
              <w:rPr>
                <w:rFonts w:ascii="Calibri" w:hAnsi="Calibri"/>
                <w:sz w:val="22"/>
              </w:rPr>
              <w:t>Revenue</w:t>
            </w:r>
          </w:p>
        </w:tc>
        <w:tc>
          <w:tcPr>
            <w:tcW w:type="dxa" w:w="960"/>
          </w:tcPr>
          <w:p>
            <w:r>
              <w:rPr>
                <w:rFonts w:ascii="Calibri" w:hAnsi="Calibri"/>
                <w:sz w:val="22"/>
              </w:rPr>
              <w:t>Q2 2026</w:t>
            </w:r>
          </w:p>
        </w:tc>
        <w:tc>
          <w:tcPr>
            <w:tcW w:type="dxa" w:w="960"/>
          </w:tcPr>
          <w:p>
            <w:r>
              <w:rPr>
                <w:rFonts w:ascii="Calibri" w:hAnsi="Calibri"/>
                <w:sz w:val="22"/>
              </w:rPr>
              <w:t>$2.343B</w:t>
            </w:r>
          </w:p>
        </w:tc>
        <w:tc>
          <w:tcPr>
            <w:tcW w:type="dxa" w:w="960"/>
          </w:tcPr>
          <w:p>
            <w:r>
              <w:rPr>
                <w:rFonts w:ascii="Calibri" w:hAnsi="Calibri"/>
                <w:sz w:val="22"/>
              </w:rPr>
              <w:t>$2.339B</w:t>
            </w:r>
          </w:p>
        </w:tc>
        <w:tc>
          <w:tcPr>
            <w:tcW w:type="dxa" w:w="960"/>
          </w:tcPr>
          <w:p>
            <w:r>
              <w:rPr>
                <w:rFonts w:ascii="Calibri" w:hAnsi="Calibri"/>
                <w:sz w:val="22"/>
              </w:rPr>
              <w:t>-0.2%</w:t>
            </w:r>
          </w:p>
        </w:tc>
        <w:tc>
          <w:tcPr>
            <w:tcW w:type="dxa" w:w="960"/>
          </w:tcPr>
          <w:p>
            <w:r>
              <w:rPr>
                <w:rFonts w:ascii="Calibri" w:hAnsi="Calibri"/>
                <w:sz w:val="22"/>
              </w:rPr>
              <w:t>~$2.3B–$2.4B</w:t>
            </w:r>
          </w:p>
        </w:tc>
        <w:tc>
          <w:tcPr>
            <w:tcW w:type="dxa" w:w="960"/>
          </w:tcPr>
          <w:p>
            <w:r>
              <w:rPr>
                <w:rFonts w:ascii="Calibri" w:hAnsi="Calibri"/>
                <w:sz w:val="22"/>
              </w:rPr>
              <w:t>Unchanged</w:t>
            </w:r>
          </w:p>
        </w:tc>
        <w:tc>
          <w:tcPr>
            <w:tcW w:type="dxa" w:w="960"/>
          </w:tcPr>
          <w:p>
            <w:r>
              <w:rPr>
                <w:rFonts w:ascii="Calibri" w:hAnsi="Calibri"/>
                <w:sz w:val="22"/>
              </w:rPr>
              <w:t>—</w:t>
            </w:r>
          </w:p>
        </w:tc>
        <w:tc>
          <w:tcPr>
            <w:tcW w:type="dxa" w:w="960"/>
          </w:tcPr>
          <w:p>
            <w:r>
              <w:rPr>
                <w:rFonts w:ascii="Calibri" w:hAnsi="Calibri"/>
                <w:sz w:val="22"/>
              </w:rPr>
              <w:t>In line with midpoint</w:t>
            </w:r>
          </w:p>
        </w:tc>
      </w:tr>
      <w:tr>
        <w:tc>
          <w:tcPr>
            <w:tcW w:type="dxa" w:w="960"/>
          </w:tcPr>
          <w:p>
            <w:r>
              <w:rPr>
                <w:rFonts w:ascii="Calibri" w:hAnsi="Calibri"/>
                <w:sz w:val="22"/>
              </w:rPr>
              <w:t>Revenue</w:t>
            </w:r>
          </w:p>
        </w:tc>
        <w:tc>
          <w:tcPr>
            <w:tcW w:type="dxa" w:w="960"/>
          </w:tcPr>
          <w:p>
            <w:r>
              <w:rPr>
                <w:rFonts w:ascii="Calibri" w:hAnsi="Calibri"/>
                <w:sz w:val="22"/>
              </w:rPr>
              <w:t>FY 2026</w:t>
            </w:r>
          </w:p>
        </w:tc>
        <w:tc>
          <w:tcPr>
            <w:tcW w:type="dxa" w:w="960"/>
          </w:tcPr>
          <w:p>
            <w:r>
              <w:rPr>
                <w:rFonts w:ascii="Calibri" w:hAnsi="Calibri"/>
                <w:sz w:val="22"/>
              </w:rPr>
              <w:t>$9.250B</w:t>
            </w:r>
          </w:p>
        </w:tc>
        <w:tc>
          <w:tcPr>
            <w:tcW w:type="dxa" w:w="960"/>
          </w:tcPr>
          <w:p>
            <w:r>
              <w:rPr>
                <w:rFonts w:ascii="Calibri" w:hAnsi="Calibri"/>
                <w:sz w:val="22"/>
              </w:rPr>
              <w:t>$9.254B</w:t>
            </w:r>
          </w:p>
        </w:tc>
        <w:tc>
          <w:tcPr>
            <w:tcW w:type="dxa" w:w="960"/>
          </w:tcPr>
          <w:p>
            <w:r>
              <w:rPr>
                <w:rFonts w:ascii="Calibri" w:hAnsi="Calibri"/>
                <w:sz w:val="22"/>
              </w:rPr>
              <w:t>+0.0%</w:t>
            </w:r>
          </w:p>
        </w:tc>
        <w:tc>
          <w:tcPr>
            <w:tcW w:type="dxa" w:w="960"/>
          </w:tcPr>
          <w:p>
            <w:r>
              <w:rPr>
                <w:rFonts w:ascii="Calibri" w:hAnsi="Calibri"/>
                <w:sz w:val="22"/>
              </w:rPr>
              <w:t>$9.2B–$9.3B</w:t>
            </w:r>
          </w:p>
        </w:tc>
        <w:tc>
          <w:tcPr>
            <w:tcW w:type="dxa" w:w="960"/>
          </w:tcPr>
          <w:p>
            <w:r>
              <w:rPr>
                <w:rFonts w:ascii="Calibri" w:hAnsi="Calibri"/>
                <w:sz w:val="22"/>
              </w:rPr>
              <w:t>Unchanged</w:t>
            </w:r>
          </w:p>
        </w:tc>
        <w:tc>
          <w:tcPr>
            <w:tcW w:type="dxa" w:w="960"/>
          </w:tcPr>
          <w:p>
            <w:r>
              <w:rPr>
                <w:rFonts w:ascii="Calibri" w:hAnsi="Calibri"/>
                <w:sz w:val="22"/>
              </w:rPr>
              <w:t>—</w:t>
            </w:r>
          </w:p>
        </w:tc>
        <w:tc>
          <w:tcPr>
            <w:tcW w:type="dxa" w:w="960"/>
          </w:tcPr>
          <w:p>
            <w:r>
              <w:rPr>
                <w:rFonts w:ascii="Calibri" w:hAnsi="Calibri"/>
                <w:sz w:val="22"/>
              </w:rPr>
              <w:t>In line with midpoint</w:t>
            </w:r>
          </w:p>
        </w:tc>
      </w:tr>
      <w:tr>
        <w:tc>
          <w:tcPr>
            <w:tcW w:type="dxa" w:w="960"/>
          </w:tcPr>
          <w:p>
            <w:r>
              <w:rPr>
                <w:rFonts w:ascii="Calibri" w:hAnsi="Calibri"/>
                <w:sz w:val="22"/>
              </w:rPr>
              <w:t>Adj. EPS</w:t>
            </w:r>
          </w:p>
        </w:tc>
        <w:tc>
          <w:tcPr>
            <w:tcW w:type="dxa" w:w="960"/>
          </w:tcPr>
          <w:p>
            <w:r>
              <w:rPr>
                <w:rFonts w:ascii="Calibri" w:hAnsi="Calibri"/>
                <w:sz w:val="22"/>
              </w:rPr>
              <w:t>Q2 2026</w:t>
            </w:r>
          </w:p>
        </w:tc>
        <w:tc>
          <w:tcPr>
            <w:tcW w:type="dxa" w:w="960"/>
          </w:tcPr>
          <w:p>
            <w:r>
              <w:rPr>
                <w:rFonts w:ascii="Calibri" w:hAnsi="Calibri"/>
                <w:sz w:val="22"/>
              </w:rPr>
              <w:t>$1.338</w:t>
            </w:r>
          </w:p>
        </w:tc>
        <w:tc>
          <w:tcPr>
            <w:tcW w:type="dxa" w:w="960"/>
          </w:tcPr>
          <w:p>
            <w:r>
              <w:rPr>
                <w:rFonts w:ascii="Calibri" w:hAnsi="Calibri"/>
                <w:sz w:val="22"/>
              </w:rPr>
              <w:t>$1.335</w:t>
            </w:r>
          </w:p>
        </w:tc>
        <w:tc>
          <w:tcPr>
            <w:tcW w:type="dxa" w:w="960"/>
          </w:tcPr>
          <w:p>
            <w:r>
              <w:rPr>
                <w:rFonts w:ascii="Calibri" w:hAnsi="Calibri"/>
                <w:sz w:val="22"/>
              </w:rPr>
              <w:t>-0.2%</w:t>
            </w:r>
          </w:p>
        </w:tc>
        <w:tc>
          <w:tcPr>
            <w:tcW w:type="dxa" w:w="960"/>
          </w:tcPr>
          <w:p>
            <w:r>
              <w:rPr>
                <w:rFonts w:ascii="Calibri" w:hAnsi="Calibri"/>
                <w:sz w:val="22"/>
              </w:rPr>
              <w:t>$1.31–$1.36</w:t>
            </w:r>
          </w:p>
        </w:tc>
        <w:tc>
          <w:tcPr>
            <w:tcW w:type="dxa" w:w="960"/>
          </w:tcPr>
          <w:p>
            <w:r>
              <w:rPr>
                <w:rFonts w:ascii="Calibri" w:hAnsi="Calibri"/>
                <w:sz w:val="22"/>
              </w:rPr>
              <w:t>Unchanged</w:t>
            </w:r>
          </w:p>
        </w:tc>
        <w:tc>
          <w:tcPr>
            <w:tcW w:type="dxa" w:w="960"/>
          </w:tcPr>
          <w:p>
            <w:r>
              <w:rPr>
                <w:rFonts w:ascii="Calibri" w:hAnsi="Calibri"/>
                <w:sz w:val="22"/>
              </w:rPr>
              <w:t>—</w:t>
            </w:r>
          </w:p>
        </w:tc>
        <w:tc>
          <w:tcPr>
            <w:tcW w:type="dxa" w:w="960"/>
          </w:tcPr>
          <w:p>
            <w:r>
              <w:rPr>
                <w:rFonts w:ascii="Calibri" w:hAnsi="Calibri"/>
                <w:sz w:val="22"/>
              </w:rPr>
              <w:t>In line with midpoint</w:t>
            </w:r>
          </w:p>
        </w:tc>
      </w:tr>
      <w:tr>
        <w:tc>
          <w:tcPr>
            <w:tcW w:type="dxa" w:w="960"/>
          </w:tcPr>
          <w:p>
            <w:r>
              <w:rPr>
                <w:rFonts w:ascii="Calibri" w:hAnsi="Calibri"/>
                <w:sz w:val="22"/>
              </w:rPr>
              <w:t>Adj. EPS</w:t>
            </w:r>
          </w:p>
        </w:tc>
        <w:tc>
          <w:tcPr>
            <w:tcW w:type="dxa" w:w="960"/>
          </w:tcPr>
          <w:p>
            <w:r>
              <w:rPr>
                <w:rFonts w:ascii="Calibri" w:hAnsi="Calibri"/>
                <w:sz w:val="22"/>
              </w:rPr>
              <w:t>FY 2026</w:t>
            </w:r>
          </w:p>
        </w:tc>
        <w:tc>
          <w:tcPr>
            <w:tcW w:type="dxa" w:w="960"/>
          </w:tcPr>
          <w:p>
            <w:r>
              <w:rPr>
                <w:rFonts w:ascii="Calibri" w:hAnsi="Calibri"/>
                <w:sz w:val="22"/>
              </w:rPr>
              <w:t>$5.531</w:t>
            </w:r>
          </w:p>
        </w:tc>
        <w:tc>
          <w:tcPr>
            <w:tcW w:type="dxa" w:w="960"/>
          </w:tcPr>
          <w:p>
            <w:r>
              <w:rPr>
                <w:rFonts w:ascii="Calibri" w:hAnsi="Calibri"/>
                <w:sz w:val="22"/>
              </w:rPr>
              <w:t>$5.545</w:t>
            </w:r>
          </w:p>
        </w:tc>
        <w:tc>
          <w:tcPr>
            <w:tcW w:type="dxa" w:w="960"/>
          </w:tcPr>
          <w:p>
            <w:r>
              <w:rPr>
                <w:rFonts w:ascii="Calibri" w:hAnsi="Calibri"/>
                <w:sz w:val="22"/>
              </w:rPr>
              <w:t>+0.3%</w:t>
            </w:r>
          </w:p>
        </w:tc>
        <w:tc>
          <w:tcPr>
            <w:tcW w:type="dxa" w:w="960"/>
          </w:tcPr>
          <w:p>
            <w:r>
              <w:rPr>
                <w:rFonts w:ascii="Calibri" w:hAnsi="Calibri"/>
                <w:sz w:val="22"/>
              </w:rPr>
              <w:t>$5.35–$5.60</w:t>
            </w:r>
          </w:p>
        </w:tc>
        <w:tc>
          <w:tcPr>
            <w:tcW w:type="dxa" w:w="960"/>
          </w:tcPr>
          <w:p>
            <w:r>
              <w:rPr>
                <w:rFonts w:ascii="Calibri" w:hAnsi="Calibri"/>
                <w:sz w:val="22"/>
              </w:rPr>
              <w:t>Unchanged</w:t>
            </w:r>
          </w:p>
        </w:tc>
        <w:tc>
          <w:tcPr>
            <w:tcW w:type="dxa" w:w="960"/>
          </w:tcPr>
          <w:p>
            <w:r>
              <w:rPr>
                <w:rFonts w:ascii="Calibri" w:hAnsi="Calibri"/>
                <w:sz w:val="22"/>
              </w:rPr>
              <w:t>—</w:t>
            </w:r>
          </w:p>
        </w:tc>
        <w:tc>
          <w:tcPr>
            <w:tcW w:type="dxa" w:w="960"/>
          </w:tcPr>
          <w:p>
            <w:r>
              <w:rPr>
                <w:rFonts w:ascii="Calibri" w:hAnsi="Calibri"/>
                <w:sz w:val="22"/>
              </w:rPr>
              <w:t>In line with midpoint</w:t>
            </w:r>
          </w:p>
        </w:tc>
      </w:tr>
      <w:tr>
        <w:tc>
          <w:tcPr>
            <w:tcW w:type="dxa" w:w="960"/>
          </w:tcPr>
          <w:p>
            <w:r>
              <w:rPr>
                <w:rFonts w:ascii="Calibri" w:hAnsi="Calibri"/>
                <w:sz w:val="22"/>
              </w:rPr>
              <w:t>EBITDA Margin</w:t>
            </w:r>
          </w:p>
        </w:tc>
        <w:tc>
          <w:tcPr>
            <w:tcW w:type="dxa" w:w="960"/>
          </w:tcPr>
          <w:p>
            <w:r>
              <w:rPr>
                <w:rFonts w:ascii="Calibri" w:hAnsi="Calibri"/>
                <w:sz w:val="22"/>
              </w:rPr>
              <w:t>Q2 2026</w:t>
            </w:r>
          </w:p>
        </w:tc>
        <w:tc>
          <w:tcPr>
            <w:tcW w:type="dxa" w:w="960"/>
          </w:tcPr>
          <w:p>
            <w:r>
              <w:rPr>
                <w:rFonts w:ascii="Calibri" w:hAnsi="Calibri"/>
                <w:sz w:val="22"/>
              </w:rPr>
              <w:t>22.1%</w:t>
            </w:r>
          </w:p>
        </w:tc>
        <w:tc>
          <w:tcPr>
            <w:tcW w:type="dxa" w:w="960"/>
          </w:tcPr>
          <w:p>
            <w:r>
              <w:rPr>
                <w:rFonts w:ascii="Calibri" w:hAnsi="Calibri"/>
                <w:sz w:val="22"/>
              </w:rPr>
              <w:t>22.1%</w:t>
            </w:r>
          </w:p>
        </w:tc>
        <w:tc>
          <w:tcPr>
            <w:tcW w:type="dxa" w:w="960"/>
          </w:tcPr>
          <w:p>
            <w:r>
              <w:rPr>
                <w:rFonts w:ascii="Calibri" w:hAnsi="Calibri"/>
                <w:sz w:val="22"/>
              </w:rPr>
              <w:t>0bps</w:t>
            </w:r>
          </w:p>
        </w:tc>
        <w:tc>
          <w:tcPr>
            <w:tcW w:type="dxa" w:w="960"/>
          </w:tcPr>
          <w:p>
            <w:r>
              <w:rPr>
                <w:rFonts w:ascii="Calibri" w:hAnsi="Calibri"/>
                <w:sz w:val="22"/>
              </w:rPr>
              <w:t>~22%–22.5%</w:t>
            </w:r>
          </w:p>
        </w:tc>
        <w:tc>
          <w:tcPr>
            <w:tcW w:type="dxa" w:w="960"/>
          </w:tcPr>
          <w:p>
            <w:r>
              <w:rPr>
                <w:rFonts w:ascii="Calibri" w:hAnsi="Calibri"/>
                <w:sz w:val="22"/>
              </w:rPr>
              <w:t>Unchanged</w:t>
            </w:r>
          </w:p>
        </w:tc>
        <w:tc>
          <w:tcPr>
            <w:tcW w:type="dxa" w:w="960"/>
          </w:tcPr>
          <w:p>
            <w:r>
              <w:rPr>
                <w:rFonts w:ascii="Calibri" w:hAnsi="Calibri"/>
                <w:sz w:val="22"/>
              </w:rPr>
              <w:t>—</w:t>
            </w:r>
          </w:p>
        </w:tc>
        <w:tc>
          <w:tcPr>
            <w:tcW w:type="dxa" w:w="960"/>
          </w:tcPr>
          <w:p>
            <w:r>
              <w:rPr>
                <w:rFonts w:ascii="Calibri" w:hAnsi="Calibri"/>
                <w:sz w:val="22"/>
              </w:rPr>
              <w:t>In line</w:t>
            </w:r>
          </w:p>
        </w:tc>
      </w:tr>
      <w:tr>
        <w:tc>
          <w:tcPr>
            <w:tcW w:type="dxa" w:w="960"/>
          </w:tcPr>
          <w:p>
            <w:r>
              <w:rPr>
                <w:rFonts w:ascii="Calibri" w:hAnsi="Calibri"/>
                <w:sz w:val="22"/>
              </w:rPr>
              <w:t>EBITDA Margin</w:t>
            </w:r>
          </w:p>
        </w:tc>
        <w:tc>
          <w:tcPr>
            <w:tcW w:type="dxa" w:w="960"/>
          </w:tcPr>
          <w:p>
            <w:r>
              <w:rPr>
                <w:rFonts w:ascii="Calibri" w:hAnsi="Calibri"/>
                <w:sz w:val="22"/>
              </w:rPr>
              <w:t>FY 2026</w:t>
            </w:r>
          </w:p>
        </w:tc>
        <w:tc>
          <w:tcPr>
            <w:tcW w:type="dxa" w:w="960"/>
          </w:tcPr>
          <w:p>
            <w:r>
              <w:rPr>
                <w:rFonts w:ascii="Calibri" w:hAnsi="Calibri"/>
                <w:sz w:val="22"/>
              </w:rPr>
              <w:t>23.0%</w:t>
            </w:r>
          </w:p>
        </w:tc>
        <w:tc>
          <w:tcPr>
            <w:tcW w:type="dxa" w:w="960"/>
          </w:tcPr>
          <w:p>
            <w:r>
              <w:rPr>
                <w:rFonts w:ascii="Calibri" w:hAnsi="Calibri"/>
                <w:sz w:val="22"/>
              </w:rPr>
              <w:t>23.0%</w:t>
            </w:r>
          </w:p>
        </w:tc>
        <w:tc>
          <w:tcPr>
            <w:tcW w:type="dxa" w:w="960"/>
          </w:tcPr>
          <w:p>
            <w:r>
              <w:rPr>
                <w:rFonts w:ascii="Calibri" w:hAnsi="Calibri"/>
                <w:sz w:val="22"/>
              </w:rPr>
              <w:t>0bps</w:t>
            </w:r>
          </w:p>
        </w:tc>
        <w:tc>
          <w:tcPr>
            <w:tcW w:type="dxa" w:w="960"/>
          </w:tcPr>
          <w:p>
            <w:r>
              <w:rPr>
                <w:rFonts w:ascii="Calibri" w:hAnsi="Calibri"/>
                <w:sz w:val="22"/>
              </w:rPr>
              <w:t>22.9%–23.3%</w:t>
            </w:r>
          </w:p>
        </w:tc>
        <w:tc>
          <w:tcPr>
            <w:tcW w:type="dxa" w:w="960"/>
          </w:tcPr>
          <w:p>
            <w:r>
              <w:rPr>
                <w:rFonts w:ascii="Calibri" w:hAnsi="Calibri"/>
                <w:sz w:val="22"/>
              </w:rPr>
              <w:t>Unchanged</w:t>
            </w:r>
          </w:p>
        </w:tc>
        <w:tc>
          <w:tcPr>
            <w:tcW w:type="dxa" w:w="960"/>
          </w:tcPr>
          <w:p>
            <w:r>
              <w:rPr>
                <w:rFonts w:ascii="Calibri" w:hAnsi="Calibri"/>
                <w:sz w:val="22"/>
              </w:rPr>
              <w:t>—</w:t>
            </w:r>
          </w:p>
        </w:tc>
        <w:tc>
          <w:tcPr>
            <w:tcW w:type="dxa" w:w="960"/>
          </w:tcPr>
          <w:p>
            <w:r>
              <w:rPr>
                <w:rFonts w:ascii="Calibri" w:hAnsi="Calibri"/>
                <w:sz w:val="22"/>
              </w:rPr>
              <w:t>In line</w:t>
            </w:r>
          </w:p>
        </w:tc>
      </w:tr>
    </w:tbl>
    <w:p>
      <w:r>
        <w:rPr>
          <w:rFonts w:ascii="Calibri" w:hAnsi="Calibri"/>
          <w:i/>
          <w:color w:val="525866"/>
          <w:sz w:val="22"/>
        </w:rPr>
        <w:t xml:space="preserve">Commentary: </w:t>
      </w:r>
      <w:r>
        <w:rPr>
          <w:rFonts w:ascii="Calibri" w:hAnsi="Calibri"/>
          <w:i/>
          <w:color w:val="525866"/>
          <w:sz w:val="22"/>
        </w:rPr>
        <w:t>Estimates have been remarkably stable since Q1 earnings — essentially no revision in either direction. This is consistent with management’s unchanged guidance and the Street’s wait-and-see posture. The lack of upward revision despite the $850M WSS contract win in April suggests the Street is not yet embedding the long-cycle WSS upside into near-term numbers.</w:t>
      </w:r>
    </w:p>
    <w:p>
      <w:r>
        <w:br w:type="page"/>
      </w:r>
    </w:p>
    <w:p>
      <w:pPr>
        <w:pStyle w:val="Heading2"/>
      </w:pPr>
      <w:r>
        <w:rPr>
          <w:rFonts w:ascii="Calibri" w:hAnsi="Calibri"/>
          <w:b/>
          <w:color w:val="3B4259"/>
          <w:sz w:val="28"/>
        </w:rPr>
        <w:t>5. Stock Performance</w:t>
      </w:r>
    </w:p>
    <w:p>
      <w:r>
        <w:rPr>
          <w:rFonts w:ascii="Calibri" w:hAnsi="Calibri"/>
          <w:b/>
          <w:color w:val="525866"/>
          <w:sz w:val="22"/>
        </w:rPr>
        <w:t xml:space="preserve">Key Takeaway: </w:t>
      </w:r>
      <w:r>
        <w:rPr>
          <w:rFonts w:ascii="Calibri" w:hAnsi="Calibri"/>
          <w:color w:val="525866"/>
          <w:sz w:val="22"/>
        </w:rPr>
        <w:t>XYL has lagged the S&amp;P 500 by ~190bps since Q1 earnings (+1.9% vs. +3.8%), with the underperformance concentrated in May (stock fell to ~$106 at trough) before recovering sharply in late June/July. The recovery appears sentiment-driven rather than estimate-driven, as consensus has been flat — suggesting the stock is pricing in execution on the H2 ramp story.</w:t>
      </w:r>
    </w:p>
    <w:p>
      <w:r>
        <w:drawing>
          <wp:inline xmlns:a="http://schemas.openxmlformats.org/drawingml/2006/main" xmlns:pic="http://schemas.openxmlformats.org/drawingml/2006/picture">
            <wp:extent cx="4572000" cy="3265714"/>
            <wp:docPr id="1" name="Picture 1"/>
            <wp:cNvGraphicFramePr>
              <a:graphicFrameLocks noChangeAspect="1"/>
            </wp:cNvGraphicFramePr>
            <a:graphic>
              <a:graphicData uri="http://schemas.openxmlformats.org/drawingml/2006/picture">
                <pic:pic>
                  <pic:nvPicPr>
                    <pic:cNvPr id="0" name="image.png"/>
                    <pic:cNvPicPr/>
                  </pic:nvPicPr>
                  <pic:blipFill>
                    <a:blip r:embed="rId9"/>
                    <a:stretch>
                      <a:fillRect/>
                    </a:stretch>
                  </pic:blipFill>
                  <pic:spPr>
                    <a:xfrm>
                      <a:off x="0" y="0"/>
                      <a:ext cx="4572000" cy="3265714"/>
                    </a:xfrm>
                    <a:prstGeom prst="rect"/>
                  </pic:spPr>
                </pic:pic>
              </a:graphicData>
            </a:graphic>
          </wp:inline>
        </w:drawing>
      </w:r>
    </w:p>
    <w:p>
      <w:pPr>
        <w:jc w:val="center"/>
      </w:pPr>
      <w:r>
        <w:rPr>
          <w:i/>
          <w:color w:val="666666"/>
          <w:sz w:val="18"/>
        </w:rPr>
        <w:t>XYL vs PHO (Water ETF) vs S&amp;P 500 — Indexed to 100 at Q1 2026 Earnings (Apr 28, 2026). XYL: +1.9% | PHO: +1.1% | SPY: +3.8%</w:t>
      </w:r>
    </w:p>
    <w:p>
      <w:pPr>
        <w:pStyle w:val="ListBullet"/>
        <w:ind w:left="360" w:hanging="360"/>
      </w:pPr>
      <w:r>
        <w:rPr>
          <w:rFonts w:ascii="Calibri" w:hAnsi="Calibri"/>
          <w:b/>
          <w:color w:val="525866"/>
          <w:sz w:val="22"/>
        </w:rPr>
        <w:t xml:space="preserve">May sell-off: </w:t>
      </w:r>
      <w:r>
        <w:rPr>
          <w:rFonts w:ascii="Calibri" w:hAnsi="Calibri"/>
          <w:color w:val="525866"/>
          <w:sz w:val="22"/>
        </w:rPr>
        <w:t>XYL fell to a trough of ~$106 in mid-May (-10% from earnings day close of $117.91), underperforming both PHO and SPY, likely reflecting broader macro/industrial sector pressure.</w:t>
      </w:r>
    </w:p>
    <w:p>
      <w:pPr>
        <w:pStyle w:val="ListBullet"/>
        <w:ind w:left="360" w:hanging="360"/>
      </w:pPr>
      <w:r>
        <w:rPr>
          <w:rFonts w:ascii="Calibri" w:hAnsi="Calibri"/>
          <w:b/>
          <w:color w:val="525866"/>
          <w:sz w:val="22"/>
        </w:rPr>
        <w:t xml:space="preserve">Recovery: </w:t>
      </w:r>
      <w:r>
        <w:rPr>
          <w:rFonts w:ascii="Calibri" w:hAnsi="Calibri"/>
          <w:color w:val="525866"/>
          <w:sz w:val="22"/>
        </w:rPr>
        <w:t>A sharp recovery in late June/early July brought XYL back to flat-to-slightly-positive vs. earnings day, with a brief spike to ~$125 on July 16 before pulling back to ~$120.</w:t>
      </w:r>
    </w:p>
    <w:p>
      <w:pPr>
        <w:pStyle w:val="ListBullet"/>
        <w:ind w:left="360" w:hanging="360"/>
      </w:pPr>
      <w:r>
        <w:rPr>
          <w:rFonts w:ascii="Calibri" w:hAnsi="Calibri"/>
          <w:b/>
          <w:color w:val="525866"/>
          <w:sz w:val="22"/>
        </w:rPr>
        <w:t xml:space="preserve">Sector outperformance: </w:t>
      </w:r>
      <w:r>
        <w:rPr>
          <w:rFonts w:ascii="Calibri" w:hAnsi="Calibri"/>
          <w:color w:val="525866"/>
          <w:sz w:val="22"/>
        </w:rPr>
        <w:t>XYL has outperformed PHO (+1.9% vs. +1.1%), suggesting some company-specific positive sentiment, likely tied to the WSS contract win and data center order acceleration.</w:t>
      </w:r>
    </w:p>
    <w:p>
      <w:pPr>
        <w:pStyle w:val="ListBullet"/>
        <w:ind w:left="360" w:hanging="360"/>
      </w:pPr>
      <w:r>
        <w:rPr>
          <w:rFonts w:ascii="Calibri" w:hAnsi="Calibri"/>
          <w:b/>
          <w:color w:val="525866"/>
          <w:sz w:val="22"/>
        </w:rPr>
        <w:t xml:space="preserve">Market underperformance: </w:t>
      </w:r>
      <w:r>
        <w:rPr>
          <w:rFonts w:ascii="Calibri" w:hAnsi="Calibri"/>
          <w:color w:val="525866"/>
          <w:sz w:val="22"/>
        </w:rPr>
        <w:t>SPY has outperformed both (+3.8%), indicating XYL has not fully participated in the broader market rally — consistent with the 80/20 walkaway headwind creating a near-term revenue drag.</w:t>
      </w:r>
    </w:p>
    <w:p>
      <w:pPr>
        <w:pStyle w:val="ListBullet"/>
        <w:ind w:left="360" w:hanging="360"/>
      </w:pPr>
      <w:r>
        <w:rPr>
          <w:rFonts w:ascii="Calibri" w:hAnsi="Calibri"/>
          <w:b/>
          <w:color w:val="525866"/>
          <w:sz w:val="22"/>
        </w:rPr>
        <w:t xml:space="preserve">Analyst ratings: </w:t>
      </w:r>
      <w:r>
        <w:rPr>
          <w:rFonts w:ascii="Calibri" w:hAnsi="Calibri"/>
          <w:color w:val="525866"/>
          <w:sz w:val="22"/>
        </w:rPr>
        <w:t>No analyst rating changes were recorded in the post-Q1 period.</w:t>
      </w:r>
    </w:p>
    <w:p>
      <w:pPr>
        <w:pStyle w:val="ListBullet"/>
        <w:ind w:left="360" w:hanging="360"/>
      </w:pPr>
      <w:r>
        <w:rPr>
          <w:rFonts w:ascii="Calibri" w:hAnsi="Calibri"/>
          <w:b/>
          <w:color w:val="525866"/>
          <w:sz w:val="22"/>
        </w:rPr>
        <w:t xml:space="preserve">Sector ETF: </w:t>
      </w:r>
      <w:r>
        <w:rPr>
          <w:rFonts w:ascii="Calibri" w:hAnsi="Calibri"/>
          <w:color w:val="525866"/>
          <w:sz w:val="22"/>
        </w:rPr>
        <w:t>PHO (Invesco Water Resources ETF) used as the sector benchmark — appropriate given XYL’s water technology focus and PHO’s holdings in water infrastructure, treatment, and metering companies.</w:t>
      </w:r>
    </w:p>
    <w:p>
      <w:r>
        <w:br w:type="page"/>
      </w:r>
    </w:p>
    <w:p>
      <w:pPr>
        <w:pStyle w:val="Heading2"/>
      </w:pPr>
      <w:r>
        <w:rPr>
          <w:rFonts w:ascii="Calibri" w:hAnsi="Calibri"/>
          <w:b/>
          <w:color w:val="3B4259"/>
          <w:sz w:val="28"/>
        </w:rPr>
        <w:t>6. Material News &amp; Developments</w:t>
      </w:r>
    </w:p>
    <w:p>
      <w:r>
        <w:rPr>
          <w:rFonts w:ascii="Calibri" w:hAnsi="Calibri"/>
          <w:b/>
          <w:color w:val="525866"/>
          <w:sz w:val="22"/>
        </w:rPr>
        <w:t xml:space="preserve">Key Takeaway: </w:t>
      </w:r>
      <w:r>
        <w:rPr>
          <w:rFonts w:ascii="Calibri" w:hAnsi="Calibri"/>
          <w:color w:val="525866"/>
          <w:sz w:val="22"/>
        </w:rPr>
        <w:t>The most material post-Q1 development is the $850M WSS outsourced water contract booked in April — the largest in company history — which validates the long-cycle services growth model and could be a significant re-rating catalyst if management provides pipeline color on the Q2 call.</w:t>
      </w:r>
    </w:p>
    <w:p>
      <w:pPr>
        <w:pStyle w:val="ListBullet"/>
        <w:ind w:left="360" w:hanging="360"/>
      </w:pPr>
      <w:r>
        <w:rPr>
          <w:rFonts w:ascii="Calibri" w:hAnsi="Calibri"/>
          <w:b/>
          <w:color w:val="525866"/>
          <w:sz w:val="22"/>
        </w:rPr>
        <w:t xml:space="preserve">April 2026 — WSS Books Largest-Ever Order ($850M, 20-Year Contract): </w:t>
      </w:r>
      <w:r>
        <w:rPr>
          <w:rFonts w:ascii="Calibri" w:hAnsi="Calibri"/>
          <w:color w:val="525866"/>
          <w:sz w:val="22"/>
        </w:rPr>
        <w:t xml:space="preserve">Xylem’s Water Solutions &amp; Services segment booked an $850M outsourced water contract with a specialty chemical customer, the largest order in company history. ~75% is services revenue over a 20-year tail; ~25% is capital. Management expects to realize ~10% of contract value in 2026, with capital build in 2027 and service revenue starting in 2028. </w:t>
      </w:r>
      <w:r>
        <w:rPr>
          <w:rFonts w:ascii="Calibri" w:hAnsi="Calibri"/>
          <w:i/>
          <w:color w:val="525866"/>
          <w:sz w:val="22"/>
        </w:rPr>
        <w:t>Implication: Validates the WSS long-cycle model; watch for pipeline commentary on Q2 call.</w:t>
      </w:r>
    </w:p>
    <w:p>
      <w:pPr>
        <w:pStyle w:val="ListBullet"/>
        <w:ind w:left="360" w:hanging="360"/>
      </w:pPr>
      <w:r>
        <w:rPr>
          <w:rFonts w:ascii="Calibri" w:hAnsi="Calibri"/>
          <w:b/>
          <w:color w:val="525866"/>
          <w:sz w:val="22"/>
        </w:rPr>
        <w:t xml:space="preserve">April 2026 — Data Center Orders in Q1 Exceeded Full-Year 2025 Total: </w:t>
      </w:r>
      <w:r>
        <w:rPr>
          <w:rFonts w:ascii="Calibri" w:hAnsi="Calibri"/>
          <w:color w:val="525866"/>
          <w:sz w:val="22"/>
        </w:rPr>
        <w:t xml:space="preserve">Applied Water segment reported that Q1 2026 data center orders exceeded the entire 2025 full-year total — a notable acceleration. Management expects these projects to carry higher margins than the segment average. </w:t>
      </w:r>
      <w:r>
        <w:rPr>
          <w:rFonts w:ascii="Calibri" w:hAnsi="Calibri"/>
          <w:i/>
          <w:color w:val="525866"/>
          <w:sz w:val="22"/>
        </w:rPr>
        <w:t>Implication: Positive read-through for Applied Water margin recovery in H2.</w:t>
      </w:r>
    </w:p>
    <w:p>
      <w:pPr>
        <w:pStyle w:val="ListBullet"/>
        <w:ind w:left="360" w:hanging="360"/>
      </w:pPr>
      <w:r>
        <w:rPr>
          <w:rFonts w:ascii="Calibri" w:hAnsi="Calibri"/>
          <w:b/>
          <w:color w:val="525866"/>
          <w:sz w:val="22"/>
        </w:rPr>
        <w:t xml:space="preserve">April 28, 2026 — Leadership Restructuring Announced: </w:t>
      </w:r>
      <w:r>
        <w:rPr>
          <w:rFonts w:ascii="Calibri" w:hAnsi="Calibri"/>
          <w:color w:val="525866"/>
          <w:sz w:val="22"/>
        </w:rPr>
        <w:t xml:space="preserve">Two new C-suite roles created: Snehal Desai as Chief Growth and Commercial Officer (focused on enterprise growth strategy and commercial excellence) and Sivan Zamir as Chief Innovation and Products Officer (to accelerate product differentiation). </w:t>
      </w:r>
      <w:r>
        <w:rPr>
          <w:rFonts w:ascii="Calibri" w:hAnsi="Calibri"/>
          <w:i/>
          <w:color w:val="525866"/>
          <w:sz w:val="22"/>
        </w:rPr>
        <w:t>Implication: Signals deliberate organizational shift toward Phase 2 growth engine post-transformation.</w:t>
      </w:r>
    </w:p>
    <w:p>
      <w:pPr>
        <w:pStyle w:val="ListBullet"/>
        <w:ind w:left="360" w:hanging="360"/>
      </w:pPr>
      <w:r>
        <w:rPr>
          <w:rFonts w:ascii="Calibri" w:hAnsi="Calibri"/>
          <w:b/>
          <w:color w:val="525866"/>
          <w:sz w:val="22"/>
        </w:rPr>
        <w:t xml:space="preserve">April 28, 2026 — MCS Orders Up 15% in Q1; Double-Digit Water Orders Growth Expected for Balance of 2026: </w:t>
      </w:r>
      <w:r>
        <w:rPr>
          <w:rFonts w:ascii="Calibri" w:hAnsi="Calibri"/>
          <w:color w:val="525866"/>
          <w:sz w:val="22"/>
        </w:rPr>
        <w:t xml:space="preserve">MCS orders were up a robust 15% in Q1, driven by smart metering demand in water (including projects that shifted from Q4). Management guided double-digit water orders growth throughout the balance of 2026. </w:t>
      </w:r>
      <w:r>
        <w:rPr>
          <w:rFonts w:ascii="Calibri" w:hAnsi="Calibri"/>
          <w:i/>
          <w:color w:val="525866"/>
          <w:sz w:val="22"/>
        </w:rPr>
        <w:t>Implication: Key metric to watch on Q2 call — any deceleration would be the most negative surprise.</w:t>
      </w:r>
    </w:p>
    <w:p>
      <w:pPr>
        <w:pStyle w:val="ListBullet"/>
        <w:ind w:left="360" w:hanging="360"/>
      </w:pPr>
      <w:r>
        <w:rPr>
          <w:rFonts w:ascii="Calibri" w:hAnsi="Calibri"/>
          <w:b/>
          <w:color w:val="525866"/>
          <w:sz w:val="22"/>
        </w:rPr>
        <w:t xml:space="preserve">February 25, 2026 — Board Approves New $1.5B Share Repurchase Program: </w:t>
      </w:r>
      <w:r>
        <w:rPr>
          <w:rFonts w:ascii="Calibri" w:hAnsi="Calibri"/>
          <w:color w:val="525866"/>
          <w:sz w:val="22"/>
        </w:rPr>
        <w:t xml:space="preserve">Xylem’s board authorized a new $1.5B buyback program. The company executed $581M in Q1 alone. </w:t>
      </w:r>
      <w:r>
        <w:rPr>
          <w:rFonts w:ascii="Calibri" w:hAnsi="Calibri"/>
          <w:i/>
          <w:color w:val="525866"/>
          <w:sz w:val="22"/>
        </w:rPr>
        <w:t>Implication: Meaningful EPS tailwind; management chose not to raise EPS guidance despite buyback benefit, signaling deliberate conservatism.</w:t>
      </w:r>
    </w:p>
    <w:p>
      <w:pPr>
        <w:pStyle w:val="ListBullet"/>
        <w:ind w:left="360" w:hanging="360"/>
      </w:pPr>
      <w:r>
        <w:rPr>
          <w:rFonts w:ascii="Calibri" w:hAnsi="Calibri"/>
          <w:b/>
          <w:color w:val="525866"/>
          <w:sz w:val="22"/>
        </w:rPr>
        <w:t xml:space="preserve">April 28, 2026 — Tuck-In Acquisition Signed (~$219M): </w:t>
      </w:r>
      <w:r>
        <w:rPr>
          <w:rFonts w:ascii="Calibri" w:hAnsi="Calibri"/>
          <w:color w:val="525866"/>
          <w:sz w:val="22"/>
        </w:rPr>
        <w:t xml:space="preserve">Xylem signed an agreement to acquire a German firm for $219M that designs and manufactures highly-engineered water quality instruments. </w:t>
      </w:r>
      <w:r>
        <w:rPr>
          <w:rFonts w:ascii="Calibri" w:hAnsi="Calibri"/>
          <w:i/>
          <w:color w:val="525866"/>
          <w:sz w:val="22"/>
        </w:rPr>
        <w:t>Implication: Expands digital/analytical capabilities; consistent with $1B annual M&amp;A target.</w:t>
      </w:r>
    </w:p>
    <w:p>
      <w:pPr>
        <w:pStyle w:val="ListBullet"/>
        <w:ind w:left="360" w:hanging="360"/>
      </w:pPr>
      <w:r>
        <w:rPr>
          <w:rFonts w:ascii="Calibri" w:hAnsi="Calibri"/>
          <w:b/>
          <w:color w:val="525866"/>
          <w:sz w:val="22"/>
        </w:rPr>
        <w:t xml:space="preserve">May 18, 2026 — Annual Shareholder Meeting: </w:t>
      </w:r>
      <w:r>
        <w:rPr>
          <w:rFonts w:ascii="Calibri" w:hAnsi="Calibri"/>
          <w:color w:val="525866"/>
          <w:sz w:val="22"/>
        </w:rPr>
        <w:t>Shareholders approved directors, executive pay, and stock plan. No material governance changes.</w:t>
      </w:r>
    </w:p>
    <w:p>
      <w:r>
        <w:br w:type="page"/>
      </w:r>
    </w:p>
    <w:p>
      <w:pPr>
        <w:pStyle w:val="Heading2"/>
      </w:pPr>
      <w:r>
        <w:rPr>
          <w:rFonts w:ascii="Calibri" w:hAnsi="Calibri"/>
          <w:b/>
          <w:color w:val="3B4259"/>
          <w:sz w:val="28"/>
        </w:rPr>
        <w:t>7. Peer Commentary — Read-Through from Last 60 Days</w:t>
      </w:r>
    </w:p>
    <w:p>
      <w:r>
        <w:rPr>
          <w:rFonts w:ascii="Calibri" w:hAnsi="Calibri"/>
          <w:b/>
          <w:color w:val="525866"/>
          <w:sz w:val="22"/>
        </w:rPr>
        <w:t xml:space="preserve">Key Takeaway: </w:t>
      </w:r>
      <w:r>
        <w:rPr>
          <w:rFonts w:ascii="Calibri" w:hAnsi="Calibri"/>
          <w:color w:val="525866"/>
          <w:sz w:val="22"/>
        </w:rPr>
        <w:t>Peers reporting Q2 2026 results (DOV, GGG, NDSN) and Q1 2026 results with Q2 outlook (ITT, RRX) collectively paint a constructive picture for XYL’s quarter — broad-based industrial demand recovery, strong order momentum, data center/infrastructure tailwinds, and manageable tariff impacts — with China remaining the key shared headwind.</w:t>
      </w:r>
    </w:p>
    <w:p>
      <w:r>
        <w:rPr>
          <w:rFonts w:ascii="Calibri" w:hAnsi="Calibri"/>
          <w:i/>
          <w:color w:val="525866"/>
          <w:sz w:val="22"/>
        </w:rPr>
        <w:t xml:space="preserve">Note: </w:t>
      </w:r>
      <w:r>
        <w:rPr>
          <w:rFonts w:ascii="Calibri" w:hAnsi="Calibri"/>
          <w:i/>
          <w:color w:val="525866"/>
          <w:sz w:val="22"/>
        </w:rPr>
        <w:t>Only commentary about Q2 2026 (the current reporting quarter) or forward-looking statements made after Q1 2026 earnings are included. Prior-quarter result commentary is excluded.</w:t>
      </w:r>
    </w:p>
    <w:p>
      <w:pPr>
        <w:pStyle w:val="Heading3"/>
      </w:pPr>
      <w:r>
        <w:rPr>
          <w:rFonts w:ascii="Calibri" w:hAnsi="Calibri"/>
          <w:b/>
          <w:color w:val="3B4259"/>
          <w:sz w:val="24"/>
        </w:rPr>
        <w:t>Dover Corporation (DOV) — Q2 2026 Earnings (July 23, 2026)</w:t>
      </w:r>
    </w:p>
    <w:p>
      <w:r>
        <w:rPr>
          <w:rFonts w:ascii="Calibri" w:hAnsi="Calibri"/>
          <w:color w:val="525866"/>
          <w:sz w:val="22"/>
        </w:rPr>
        <w:t>Most relevant peer for XYL given overlapping industrial, pump, and infrastructure exposure.</w:t>
      </w:r>
    </w:p>
    <w:p>
      <w:pPr>
        <w:pStyle w:val="ListBullet"/>
        <w:ind w:left="360" w:hanging="360"/>
      </w:pPr>
      <w:r>
        <w:rPr>
          <w:rFonts w:ascii="Calibri" w:hAnsi="Calibri"/>
          <w:b/>
          <w:color w:val="525866"/>
          <w:sz w:val="22"/>
        </w:rPr>
        <w:t xml:space="preserve">Demand/Orders: </w:t>
      </w:r>
      <w:r>
        <w:rPr>
          <w:rFonts w:ascii="Calibri" w:hAnsi="Calibri"/>
          <w:color w:val="525866"/>
          <w:sz w:val="22"/>
        </w:rPr>
        <w:t xml:space="preserve">DOV reported 5% organic growth in Q2 with all five segments positive. Bookings increased 16% YoY with book-to-bill of 1.06 — extending strong order momentum and improving H2 visibility. Broad-based booking momentum with all five segments posting YoY growth on a trailing 12-month basis. </w:t>
      </w:r>
      <w:r>
        <w:rPr>
          <w:rFonts w:ascii="Calibri" w:hAnsi="Calibri"/>
          <w:b/>
          <w:color w:val="30A46C"/>
          <w:sz w:val="22"/>
        </w:rPr>
        <w:t>Positive read-through: Strong industrial demand environment broadly supportive of XYL’s own order recovery.</w:t>
      </w:r>
    </w:p>
    <w:p>
      <w:pPr>
        <w:pStyle w:val="ListBullet"/>
        <w:ind w:left="360" w:hanging="360"/>
      </w:pPr>
      <w:r>
        <w:rPr>
          <w:rFonts w:ascii="Calibri" w:hAnsi="Calibri"/>
          <w:b/>
          <w:color w:val="525866"/>
          <w:sz w:val="22"/>
        </w:rPr>
        <w:t xml:space="preserve">Data Center: </w:t>
      </w:r>
      <w:r>
        <w:rPr>
          <w:rFonts w:ascii="Calibri" w:hAnsi="Calibri"/>
          <w:color w:val="525866"/>
          <w:sz w:val="22"/>
        </w:rPr>
        <w:t xml:space="preserve">Heat exchangers delivered their best quarter ever, driven by particularly strong demand tied to liquid cooling for data centers. DOV is actively working to double capacity for heat exchangers over the next 12 months. </w:t>
      </w:r>
      <w:r>
        <w:rPr>
          <w:rFonts w:ascii="Calibri" w:hAnsi="Calibri"/>
          <w:b/>
          <w:color w:val="30A46C"/>
          <w:sz w:val="22"/>
        </w:rPr>
        <w:t>Positive read-through: Confirms data center infrastructure demand is real and accelerating — directly supportive of XYL’s Applied Water data center order surge.</w:t>
      </w:r>
    </w:p>
    <w:p>
      <w:pPr>
        <w:pStyle w:val="ListBullet"/>
        <w:ind w:left="360" w:hanging="360"/>
      </w:pPr>
      <w:r>
        <w:rPr>
          <w:rFonts w:ascii="Calibri" w:hAnsi="Calibri"/>
          <w:b/>
          <w:color w:val="525866"/>
          <w:sz w:val="22"/>
        </w:rPr>
        <w:t xml:space="preserve">Margins: </w:t>
      </w:r>
      <w:r>
        <w:rPr>
          <w:rFonts w:ascii="Calibri" w:hAnsi="Calibri"/>
          <w:color w:val="525866"/>
          <w:sz w:val="22"/>
        </w:rPr>
        <w:t xml:space="preserve">Adjusted EBITDA margin expanded 80bps to 25.9%, with incremental margins of 38% (up from 25% in Q1). </w:t>
      </w:r>
      <w:r>
        <w:rPr>
          <w:rFonts w:ascii="Calibri" w:hAnsi="Calibri"/>
          <w:b/>
          <w:color w:val="30A46C"/>
          <w:sz w:val="22"/>
        </w:rPr>
        <w:t>Positive read-through: Demonstrates that industrial companies with strong execution can expand margins in an inflationary environment — sets a positive tone for XYL’s own margin expansion narrative.</w:t>
      </w:r>
    </w:p>
    <w:p>
      <w:pPr>
        <w:pStyle w:val="ListBullet"/>
        <w:ind w:left="360" w:hanging="360"/>
      </w:pPr>
      <w:r>
        <w:rPr>
          <w:rFonts w:ascii="Calibri" w:hAnsi="Calibri"/>
          <w:b/>
          <w:color w:val="525866"/>
          <w:sz w:val="22"/>
        </w:rPr>
        <w:t xml:space="preserve">H2 Outlook: </w:t>
      </w:r>
      <w:r>
        <w:rPr>
          <w:rFonts w:ascii="Calibri" w:hAnsi="Calibri"/>
          <w:color w:val="525866"/>
          <w:sz w:val="22"/>
        </w:rPr>
        <w:t xml:space="preserve">DOV raised full-year adjusted EPS guidance, committing to double-digit EPS growth. Secular growth markets expected to continue leading. </w:t>
      </w:r>
      <w:r>
        <w:rPr>
          <w:rFonts w:ascii="Calibri" w:hAnsi="Calibri"/>
          <w:b/>
          <w:color w:val="30A46C"/>
          <w:sz w:val="22"/>
        </w:rPr>
        <w:t>Positive read-through: Constructive H2 industrial demand environment.</w:t>
      </w:r>
    </w:p>
    <w:p>
      <w:pPr>
        <w:pStyle w:val="ListBullet"/>
        <w:ind w:left="360" w:hanging="360"/>
      </w:pPr>
      <w:r>
        <w:rPr>
          <w:rFonts w:ascii="Calibri" w:hAnsi="Calibri"/>
          <w:b/>
          <w:color w:val="525866"/>
          <w:sz w:val="22"/>
        </w:rPr>
        <w:t xml:space="preserve">Tariffs: </w:t>
      </w:r>
      <w:r>
        <w:rPr>
          <w:rFonts w:ascii="Calibri" w:hAnsi="Calibri"/>
          <w:color w:val="525866"/>
          <w:sz w:val="22"/>
        </w:rPr>
        <w:t>Operating environment still has uncertainty around tariffs, but manageable. Neutral read-through for XYL.</w:t>
      </w:r>
    </w:p>
    <w:p>
      <w:pPr>
        <w:pStyle w:val="Heading3"/>
      </w:pPr>
      <w:r>
        <w:rPr>
          <w:rFonts w:ascii="Calibri" w:hAnsi="Calibri"/>
          <w:b/>
          <w:color w:val="3B4259"/>
          <w:sz w:val="24"/>
        </w:rPr>
        <w:t>Graco Inc. (GGG) — Q2 2026 Earnings (July 23, 2026)</w:t>
      </w:r>
    </w:p>
    <w:p>
      <w:r>
        <w:rPr>
          <w:rFonts w:ascii="Calibri" w:hAnsi="Calibri"/>
          <w:color w:val="525866"/>
          <w:sz w:val="22"/>
        </w:rPr>
        <w:t>Relevant for industrial demand and pricing read-through.</w:t>
      </w:r>
    </w:p>
    <w:p>
      <w:pPr>
        <w:pStyle w:val="ListBullet"/>
        <w:ind w:left="360" w:hanging="360"/>
      </w:pPr>
      <w:r>
        <w:rPr>
          <w:rFonts w:ascii="Calibri" w:hAnsi="Calibri"/>
          <w:b/>
          <w:color w:val="525866"/>
          <w:sz w:val="22"/>
        </w:rPr>
        <w:t xml:space="preserve">Demand/Orders: </w:t>
      </w:r>
      <w:r>
        <w:rPr>
          <w:rFonts w:ascii="Calibri" w:hAnsi="Calibri"/>
          <w:color w:val="525866"/>
          <w:sz w:val="22"/>
        </w:rPr>
        <w:t xml:space="preserve">Organic orders increased 5% in Q2. Most recent 6-week booking average was up 14% YoY — a notable acceleration. Backlog as of July 17 was up 28% from the beginning of the year. Management expressed confidence in a stronger H2. </w:t>
      </w:r>
      <w:r>
        <w:rPr>
          <w:rFonts w:ascii="Calibri" w:hAnsi="Calibri"/>
          <w:b/>
          <w:color w:val="30A46C"/>
          <w:sz w:val="22"/>
        </w:rPr>
        <w:t>Positive read-through: Accelerating order trends in late Q2/early Q3 are a positive signal for XYL’s own order trajectory.</w:t>
      </w:r>
    </w:p>
    <w:p>
      <w:pPr>
        <w:pStyle w:val="ListBullet"/>
        <w:ind w:left="360" w:hanging="360"/>
      </w:pPr>
      <w:r>
        <w:rPr>
          <w:rFonts w:ascii="Calibri" w:hAnsi="Calibri"/>
          <w:b/>
          <w:color w:val="525866"/>
          <w:sz w:val="22"/>
        </w:rPr>
        <w:t xml:space="preserve">Industrial: </w:t>
      </w:r>
      <w:r>
        <w:rPr>
          <w:rFonts w:ascii="Calibri" w:hAnsi="Calibri"/>
          <w:color w:val="525866"/>
          <w:sz w:val="22"/>
        </w:rPr>
        <w:t xml:space="preserve">Industrial segment sales up 3%, with broad-based activity across process, manufacturing, and general industrial applications. PMI starting to turn positive. </w:t>
      </w:r>
      <w:r>
        <w:rPr>
          <w:rFonts w:ascii="Calibri" w:hAnsi="Calibri"/>
          <w:b/>
          <w:color w:val="30A46C"/>
          <w:sz w:val="22"/>
        </w:rPr>
        <w:t>Positive read-through: General industrial recovery supportive of XYL’s Water Infrastructure and Applied Water segments.</w:t>
      </w:r>
    </w:p>
    <w:p>
      <w:pPr>
        <w:pStyle w:val="ListBullet"/>
        <w:ind w:left="360" w:hanging="360"/>
      </w:pPr>
      <w:r>
        <w:rPr>
          <w:rFonts w:ascii="Calibri" w:hAnsi="Calibri"/>
          <w:b/>
          <w:color w:val="525866"/>
          <w:sz w:val="22"/>
        </w:rPr>
        <w:t xml:space="preserve">Pricing: </w:t>
      </w:r>
      <w:r>
        <w:rPr>
          <w:rFonts w:ascii="Calibri" w:hAnsi="Calibri"/>
          <w:color w:val="525866"/>
          <w:sz w:val="22"/>
        </w:rPr>
        <w:t xml:space="preserve">Price realization ~1.5%–2%, consistent with historical performance. Price-cost equation remains positive. </w:t>
      </w:r>
      <w:r>
        <w:rPr>
          <w:rFonts w:ascii="Calibri" w:hAnsi="Calibri"/>
          <w:b/>
          <w:color w:val="30A46C"/>
          <w:sz w:val="22"/>
        </w:rPr>
        <w:t>Positive read-through: Pricing environment remains constructive for XYL.</w:t>
      </w:r>
    </w:p>
    <w:p>
      <w:pPr>
        <w:pStyle w:val="ListBullet"/>
        <w:ind w:left="360" w:hanging="360"/>
      </w:pPr>
      <w:r>
        <w:rPr>
          <w:rFonts w:ascii="Calibri" w:hAnsi="Calibri"/>
          <w:b/>
          <w:color w:val="525866"/>
          <w:sz w:val="22"/>
        </w:rPr>
        <w:t xml:space="preserve">Margins: </w:t>
      </w:r>
      <w:r>
        <w:rPr>
          <w:rFonts w:ascii="Calibri" w:hAnsi="Calibri"/>
          <w:color w:val="525866"/>
          <w:sz w:val="22"/>
        </w:rPr>
        <w:t xml:space="preserve">Gross margin up 130bps YoY; operating margin 30% vs. 26% prior year. </w:t>
      </w:r>
      <w:r>
        <w:rPr>
          <w:rFonts w:ascii="Calibri" w:hAnsi="Calibri"/>
          <w:b/>
          <w:color w:val="30A46C"/>
          <w:sz w:val="22"/>
        </w:rPr>
        <w:t>Positive read-through: Margin expansion achievable in current environment.</w:t>
      </w:r>
    </w:p>
    <w:p>
      <w:pPr>
        <w:pStyle w:val="ListBullet"/>
        <w:ind w:left="360" w:hanging="360"/>
      </w:pPr>
      <w:r>
        <w:rPr>
          <w:rFonts w:ascii="Calibri" w:hAnsi="Calibri"/>
          <w:b/>
          <w:color w:val="525866"/>
          <w:sz w:val="22"/>
        </w:rPr>
        <w:t xml:space="preserve">China: </w:t>
      </w:r>
      <w:r>
        <w:rPr>
          <w:rFonts w:ascii="Calibri" w:hAnsi="Calibri"/>
          <w:color w:val="525866"/>
          <w:sz w:val="22"/>
        </w:rPr>
        <w:t>Activity slower in China due to prior-year pull-forward and softer automotive demand. Consistent with XYL’s own China narrative — bottoming out.</w:t>
      </w:r>
    </w:p>
    <w:p>
      <w:pPr>
        <w:pStyle w:val="ListBullet"/>
        <w:ind w:left="360" w:hanging="360"/>
      </w:pPr>
      <w:r>
        <w:rPr>
          <w:rFonts w:ascii="Calibri" w:hAnsi="Calibri"/>
          <w:b/>
          <w:color w:val="525866"/>
          <w:sz w:val="22"/>
        </w:rPr>
        <w:t xml:space="preserve">H2 Outlook: </w:t>
      </w:r>
      <w:r>
        <w:rPr>
          <w:rFonts w:ascii="Calibri" w:hAnsi="Calibri"/>
          <w:color w:val="525866"/>
          <w:sz w:val="22"/>
        </w:rPr>
        <w:t xml:space="preserve">Full-year outlook maintained; Q3 revenue guide of $580M–$600M initiated. Back-half loaded. </w:t>
      </w:r>
      <w:r>
        <w:rPr>
          <w:rFonts w:ascii="Calibri" w:hAnsi="Calibri"/>
          <w:b/>
          <w:color w:val="30A46C"/>
          <w:sz w:val="22"/>
        </w:rPr>
        <w:t>Positive read-through: Consistent with XYL’s own H2 ramp thesis.</w:t>
      </w:r>
    </w:p>
    <w:p>
      <w:pPr>
        <w:pStyle w:val="Heading3"/>
      </w:pPr>
      <w:r>
        <w:rPr>
          <w:rFonts w:ascii="Calibri" w:hAnsi="Calibri"/>
          <w:b/>
          <w:color w:val="3B4259"/>
          <w:sz w:val="24"/>
        </w:rPr>
        <w:t>Nordson Corporation (NDSN) — Q2 FY2026 Earnings (May 21, 2026)</w:t>
      </w:r>
    </w:p>
    <w:p>
      <w:r>
        <w:rPr>
          <w:rFonts w:ascii="Calibri" w:hAnsi="Calibri"/>
          <w:color w:val="525866"/>
          <w:sz w:val="22"/>
        </w:rPr>
        <w:t>Relevant for semiconductor/electronics and industrial demand read-through.</w:t>
      </w:r>
    </w:p>
    <w:p>
      <w:pPr>
        <w:pStyle w:val="ListBullet"/>
        <w:ind w:left="360" w:hanging="360"/>
      </w:pPr>
      <w:r>
        <w:rPr>
          <w:rFonts w:ascii="Calibri" w:hAnsi="Calibri"/>
          <w:b/>
          <w:color w:val="525866"/>
          <w:sz w:val="22"/>
        </w:rPr>
        <w:t xml:space="preserve">Demand/Orders: </w:t>
      </w:r>
      <w:r>
        <w:rPr>
          <w:rFonts w:ascii="Calibri" w:hAnsi="Calibri"/>
          <w:color w:val="525866"/>
          <w:sz w:val="22"/>
        </w:rPr>
        <w:t xml:space="preserve">Broad-based order entry momentum across all segments; backlog up 18% organically YoY. ATS (semiconductor/electronics) segment achieved all-time quarterly record sales, up 10% YoY. Management stated they are in the “early stages” of the semiconductor cycle. </w:t>
      </w:r>
      <w:r>
        <w:rPr>
          <w:rFonts w:ascii="Calibri" w:hAnsi="Calibri"/>
          <w:b/>
          <w:color w:val="30A46C"/>
          <w:sz w:val="22"/>
        </w:rPr>
        <w:t>Positive read-through: Semiconductor and electronics demand remains robust — supportive of XYL’s data center and digital infrastructure exposure.</w:t>
      </w:r>
    </w:p>
    <w:p>
      <w:pPr>
        <w:pStyle w:val="ListBullet"/>
        <w:ind w:left="360" w:hanging="360"/>
      </w:pPr>
      <w:r>
        <w:rPr>
          <w:rFonts w:ascii="Calibri" w:hAnsi="Calibri"/>
          <w:b/>
          <w:color w:val="525866"/>
          <w:sz w:val="22"/>
        </w:rPr>
        <w:t xml:space="preserve">Industrial: </w:t>
      </w:r>
      <w:r>
        <w:rPr>
          <w:rFonts w:ascii="Calibri" w:hAnsi="Calibri"/>
          <w:color w:val="525866"/>
          <w:sz w:val="22"/>
        </w:rPr>
        <w:t xml:space="preserve">IPS segment (industrial precision) achieved Q2 record sales, up 10% YoY with 5% organic growth. Improving demand in industrial coating and polymer processing. </w:t>
      </w:r>
      <w:r>
        <w:rPr>
          <w:rFonts w:ascii="Calibri" w:hAnsi="Calibri"/>
          <w:b/>
          <w:color w:val="30A46C"/>
          <w:sz w:val="22"/>
        </w:rPr>
        <w:t>Positive read-through: Broad industrial recovery underway.</w:t>
      </w:r>
    </w:p>
    <w:p>
      <w:pPr>
        <w:pStyle w:val="ListBullet"/>
        <w:ind w:left="360" w:hanging="360"/>
      </w:pPr>
      <w:r>
        <w:rPr>
          <w:rFonts w:ascii="Calibri" w:hAnsi="Calibri"/>
          <w:b/>
          <w:color w:val="525866"/>
          <w:sz w:val="22"/>
        </w:rPr>
        <w:t xml:space="preserve">Margins: </w:t>
      </w:r>
      <w:r>
        <w:rPr>
          <w:rFonts w:ascii="Calibri" w:hAnsi="Calibri"/>
          <w:color w:val="525866"/>
          <w:sz w:val="22"/>
        </w:rPr>
        <w:t>EBITDA was a Q2 record at 32% of sales. In an inflationary environment, focus is on maintaining margins rather than expanding — a more cautious tone than DOV. Neutral read-through for XYL.</w:t>
      </w:r>
    </w:p>
    <w:p>
      <w:pPr>
        <w:pStyle w:val="ListBullet"/>
        <w:ind w:left="360" w:hanging="360"/>
      </w:pPr>
      <w:r>
        <w:rPr>
          <w:rFonts w:ascii="Calibri" w:hAnsi="Calibri"/>
          <w:b/>
          <w:color w:val="525866"/>
          <w:sz w:val="22"/>
        </w:rPr>
        <w:t xml:space="preserve">H2 Outlook: </w:t>
      </w:r>
      <w:r>
        <w:rPr>
          <w:rFonts w:ascii="Calibri" w:hAnsi="Calibri"/>
          <w:color w:val="525866"/>
          <w:sz w:val="22"/>
        </w:rPr>
        <w:t xml:space="preserve">Raised full-year guidance; Q3 sales guided to $760M–$790M. High confidence in midpoint of range. </w:t>
      </w:r>
      <w:r>
        <w:rPr>
          <w:rFonts w:ascii="Calibri" w:hAnsi="Calibri"/>
          <w:b/>
          <w:color w:val="30A46C"/>
          <w:sz w:val="22"/>
        </w:rPr>
        <w:t>Positive read-through: Constructive H2 demand environment.</w:t>
      </w:r>
    </w:p>
    <w:p>
      <w:pPr>
        <w:pStyle w:val="Heading3"/>
      </w:pPr>
      <w:r>
        <w:rPr>
          <w:rFonts w:ascii="Calibri" w:hAnsi="Calibri"/>
          <w:b/>
          <w:color w:val="3B4259"/>
          <w:sz w:val="24"/>
        </w:rPr>
        <w:t>ITT Inc. (ITT) — Q1 2026 Earnings (May 6, 2026) — Q2 2026 Outlook</w:t>
      </w:r>
    </w:p>
    <w:p>
      <w:r>
        <w:rPr>
          <w:rFonts w:ascii="Calibri" w:hAnsi="Calibri"/>
          <w:color w:val="525866"/>
          <w:sz w:val="22"/>
        </w:rPr>
        <w:t>Highly relevant: ITT’s Flow Technologies segment (pumps, valves, flow control) directly overlaps with XYL’s Water Infrastructure and WSS segments.</w:t>
      </w:r>
    </w:p>
    <w:p>
      <w:pPr>
        <w:pStyle w:val="ListBullet"/>
        <w:ind w:left="360" w:hanging="360"/>
      </w:pPr>
      <w:r>
        <w:rPr>
          <w:rFonts w:ascii="Calibri" w:hAnsi="Calibri"/>
          <w:b/>
          <w:color w:val="525866"/>
          <w:sz w:val="22"/>
        </w:rPr>
        <w:t xml:space="preserve">Q2 2026 Outlook: </w:t>
      </w:r>
      <w:r>
        <w:rPr>
          <w:rFonts w:ascii="Calibri" w:hAnsi="Calibri"/>
          <w:color w:val="525866"/>
          <w:sz w:val="22"/>
        </w:rPr>
        <w:t xml:space="preserve">Flow Technologies guided to low double-digit organic growth in Q2 — the strongest segment. Industrial process funnel described as “very healthy, elevated, and up year-over-year and sequentially.” North America showing the largest funnel increase. </w:t>
      </w:r>
      <w:r>
        <w:rPr>
          <w:rFonts w:ascii="Calibri" w:hAnsi="Calibri"/>
          <w:b/>
          <w:color w:val="30A46C"/>
          <w:sz w:val="22"/>
        </w:rPr>
        <w:t>Positive read-through: Strong pump/flow demand in North America directly supportive of XYL’s Water Infrastructure and Applied Water segments.</w:t>
      </w:r>
    </w:p>
    <w:p>
      <w:pPr>
        <w:pStyle w:val="ListBullet"/>
        <w:ind w:left="360" w:hanging="360"/>
      </w:pPr>
      <w:r>
        <w:rPr>
          <w:rFonts w:ascii="Calibri" w:hAnsi="Calibri"/>
          <w:b/>
          <w:color w:val="525866"/>
          <w:sz w:val="22"/>
        </w:rPr>
        <w:t xml:space="preserve">Pricing/Tariffs: </w:t>
      </w:r>
      <w:r>
        <w:rPr>
          <w:rFonts w:ascii="Calibri" w:hAnsi="Calibri"/>
          <w:color w:val="525866"/>
          <w:sz w:val="22"/>
        </w:rPr>
        <w:t xml:space="preserve">Price-cost equation expected to be positive for the full year. Company expects to offset all tariffs with commercial and productivity actions — consistent with XYL’s own tariff commentary. </w:t>
      </w:r>
      <w:r>
        <w:rPr>
          <w:rFonts w:ascii="Calibri" w:hAnsi="Calibri"/>
          <w:b/>
          <w:color w:val="30A46C"/>
          <w:sz w:val="22"/>
        </w:rPr>
        <w:t>Positive read-through.</w:t>
      </w:r>
    </w:p>
    <w:p>
      <w:pPr>
        <w:pStyle w:val="ListBullet"/>
        <w:ind w:left="360" w:hanging="360"/>
      </w:pPr>
      <w:r>
        <w:rPr>
          <w:rFonts w:ascii="Calibri" w:hAnsi="Calibri"/>
          <w:b/>
          <w:color w:val="525866"/>
          <w:sz w:val="22"/>
        </w:rPr>
        <w:t xml:space="preserve">Municipal/Utility: </w:t>
      </w:r>
      <w:r>
        <w:rPr>
          <w:rFonts w:ascii="Calibri" w:hAnsi="Calibri"/>
          <w:color w:val="525866"/>
          <w:sz w:val="22"/>
        </w:rPr>
        <w:t xml:space="preserve">Industrial process funnel strength in North America is a positive proxy for utility/municipal demand. </w:t>
      </w:r>
      <w:r>
        <w:rPr>
          <w:rFonts w:ascii="Calibri" w:hAnsi="Calibri"/>
          <w:b/>
          <w:color w:val="30A46C"/>
          <w:sz w:val="22"/>
        </w:rPr>
        <w:t>Positive read-through.</w:t>
      </w:r>
    </w:p>
    <w:p>
      <w:pPr>
        <w:pStyle w:val="Heading3"/>
      </w:pPr>
      <w:r>
        <w:rPr>
          <w:rFonts w:ascii="Calibri" w:hAnsi="Calibri"/>
          <w:b/>
          <w:color w:val="3B4259"/>
          <w:sz w:val="24"/>
        </w:rPr>
        <w:t>Regal Rexnord (RRX) — Q1 2026 Earnings (May 7, 2026) — Q2 2026 Outlook</w:t>
      </w:r>
    </w:p>
    <w:p>
      <w:r>
        <w:rPr>
          <w:rFonts w:ascii="Calibri" w:hAnsi="Calibri"/>
          <w:color w:val="525866"/>
          <w:sz w:val="22"/>
        </w:rPr>
        <w:t>Relevant for general industrial and HVAC demand read-through.</w:t>
      </w:r>
    </w:p>
    <w:p>
      <w:pPr>
        <w:pStyle w:val="ListBullet"/>
        <w:ind w:left="360" w:hanging="360"/>
      </w:pPr>
      <w:r>
        <w:rPr>
          <w:rFonts w:ascii="Calibri" w:hAnsi="Calibri"/>
          <w:b/>
          <w:color w:val="525866"/>
          <w:sz w:val="22"/>
        </w:rPr>
        <w:t xml:space="preserve">Q2 2026 Outlook: </w:t>
      </w:r>
      <w:r>
        <w:rPr>
          <w:rFonts w:ascii="Calibri" w:hAnsi="Calibri"/>
          <w:color w:val="525866"/>
          <w:sz w:val="22"/>
        </w:rPr>
        <w:t xml:space="preserve">Enterprise orders in April were up 4.6% daily. All segments expected to see sequential sales improvement in Q2. ISM-related tailwinds visible in both IPS and AMC segments. </w:t>
      </w:r>
      <w:r>
        <w:rPr>
          <w:rFonts w:ascii="Calibri" w:hAnsi="Calibri"/>
          <w:b/>
          <w:color w:val="30A46C"/>
          <w:sz w:val="22"/>
        </w:rPr>
        <w:t>Positive read-through: Broad industrial recovery gaining momentum heading into Q2.</w:t>
      </w:r>
    </w:p>
    <w:p>
      <w:pPr>
        <w:pStyle w:val="ListBullet"/>
        <w:ind w:left="360" w:hanging="360"/>
      </w:pPr>
      <w:r>
        <w:rPr>
          <w:rFonts w:ascii="Calibri" w:hAnsi="Calibri"/>
          <w:b/>
          <w:color w:val="525866"/>
          <w:sz w:val="22"/>
        </w:rPr>
        <w:t xml:space="preserve">HVAC: </w:t>
      </w:r>
      <w:r>
        <w:rPr>
          <w:rFonts w:ascii="Calibri" w:hAnsi="Calibri"/>
          <w:color w:val="525866"/>
          <w:sz w:val="22"/>
        </w:rPr>
        <w:t xml:space="preserve">More optimistic on commercial and residential HVAC markets — residential HVAC now assumed down mid-single digits vs. high single digits previously. </w:t>
      </w:r>
      <w:r>
        <w:rPr>
          <w:rFonts w:ascii="Calibri" w:hAnsi="Calibri"/>
          <w:b/>
          <w:color w:val="30A46C"/>
          <w:sz w:val="22"/>
        </w:rPr>
        <w:t>Positive read-through: Less HVAC weakness than feared, supportive of XYL’s Applied Water commercial building exposure.</w:t>
      </w:r>
    </w:p>
    <w:p>
      <w:pPr>
        <w:pStyle w:val="ListBullet"/>
        <w:ind w:left="360" w:hanging="360"/>
      </w:pPr>
      <w:r>
        <w:rPr>
          <w:rFonts w:ascii="Calibri" w:hAnsi="Calibri"/>
          <w:b/>
          <w:color w:val="525866"/>
          <w:sz w:val="22"/>
        </w:rPr>
        <w:t xml:space="preserve">Data Center: </w:t>
      </w:r>
      <w:r>
        <w:rPr>
          <w:rFonts w:ascii="Calibri" w:hAnsi="Calibri"/>
          <w:color w:val="525866"/>
          <w:sz w:val="22"/>
        </w:rPr>
        <w:t xml:space="preserve">RRX remains “very, very bullish” on data center market; 2026 data center sales expected at $180M with $900M+ projected for 2027. </w:t>
      </w:r>
      <w:r>
        <w:rPr>
          <w:rFonts w:ascii="Calibri" w:hAnsi="Calibri"/>
          <w:b/>
          <w:color w:val="30A46C"/>
          <w:sz w:val="22"/>
        </w:rPr>
        <w:t>Positive read-through: Confirms multi-year data center infrastructure investment cycle — directly supportive of XYL’s Applied Water data center order acceleration.</w:t>
      </w:r>
    </w:p>
    <w:p>
      <w:pPr>
        <w:pStyle w:val="ListBullet"/>
        <w:ind w:left="360" w:hanging="360"/>
      </w:pPr>
      <w:r>
        <w:rPr>
          <w:rFonts w:ascii="Calibri" w:hAnsi="Calibri"/>
          <w:b/>
          <w:color w:val="525866"/>
          <w:sz w:val="22"/>
        </w:rPr>
        <w:t xml:space="preserve">Tariffs: </w:t>
      </w:r>
      <w:r>
        <w:rPr>
          <w:rFonts w:ascii="Calibri" w:hAnsi="Calibri"/>
          <w:color w:val="525866"/>
          <w:sz w:val="22"/>
        </w:rPr>
        <w:t xml:space="preserve">Estimated unmitigated tariff impact lowered to $127M from $155M. Expects to be dollar-cost neutral by mid-2026 and margin-neutral by year-end. </w:t>
      </w:r>
      <w:r>
        <w:rPr>
          <w:rFonts w:ascii="Calibri" w:hAnsi="Calibri"/>
          <w:b/>
          <w:color w:val="30A46C"/>
          <w:sz w:val="22"/>
        </w:rPr>
        <w:t>Positive read-through: Tariff environment improving, consistent with XYL’s “no material impact” commentary.</w:t>
      </w:r>
    </w:p>
    <w:p>
      <w:pPr>
        <w:pStyle w:val="Heading3"/>
      </w:pPr>
      <w:r>
        <w:rPr>
          <w:rFonts w:ascii="Calibri" w:hAnsi="Calibri"/>
          <w:b/>
          <w:color w:val="3B4259"/>
          <w:sz w:val="24"/>
        </w:rPr>
        <w:t>Overall Peer Read-Through Summary</w:t>
      </w:r>
    </w:p>
    <w:tbl>
      <w:tblPr>
        <w:tblStyle w:val="TableGrid"/>
        <w:tblW w:type="auto" w:w="0"/>
        <w:tblLook w:firstColumn="1" w:firstRow="1" w:lastColumn="0" w:lastRow="0" w:noHBand="0" w:noVBand="1" w:val="04A0"/>
      </w:tblPr>
      <w:tblGrid>
        <w:gridCol w:w="2880"/>
        <w:gridCol w:w="2880"/>
        <w:gridCol w:w="2880"/>
      </w:tblGrid>
      <w:tr>
        <w:tc>
          <w:tcPr>
            <w:tcW w:type="dxa" w:w="2880"/>
            <w:shd w:val="clear" w:color="auto" w:fill="3B4259"/>
          </w:tcPr>
          <w:p>
            <w:r>
              <w:rPr>
                <w:rFonts w:ascii="Calibri" w:hAnsi="Calibri"/>
                <w:b/>
                <w:color w:val="FFFFFF"/>
                <w:sz w:val="22"/>
              </w:rPr>
              <w:t>Theme</w:t>
            </w:r>
          </w:p>
        </w:tc>
        <w:tc>
          <w:tcPr>
            <w:tcW w:type="dxa" w:w="2880"/>
            <w:shd w:val="clear" w:color="auto" w:fill="3B4259"/>
          </w:tcPr>
          <w:p>
            <w:r>
              <w:rPr>
                <w:rFonts w:ascii="Calibri" w:hAnsi="Calibri"/>
                <w:b/>
                <w:color w:val="FFFFFF"/>
                <w:sz w:val="22"/>
              </w:rPr>
              <w:t>Peer Signal</w:t>
            </w:r>
          </w:p>
        </w:tc>
        <w:tc>
          <w:tcPr>
            <w:tcW w:type="dxa" w:w="2880"/>
            <w:shd w:val="clear" w:color="auto" w:fill="3B4259"/>
          </w:tcPr>
          <w:p>
            <w:r>
              <w:rPr>
                <w:rFonts w:ascii="Calibri" w:hAnsi="Calibri"/>
                <w:b/>
                <w:color w:val="FFFFFF"/>
                <w:sz w:val="22"/>
              </w:rPr>
              <w:t>XYL Read-Through</w:t>
            </w:r>
          </w:p>
        </w:tc>
      </w:tr>
      <w:tr>
        <w:tc>
          <w:tcPr>
            <w:tcW w:type="dxa" w:w="2880"/>
          </w:tcPr>
          <w:p>
            <w:r>
              <w:rPr>
                <w:rFonts w:ascii="Calibri" w:hAnsi="Calibri"/>
                <w:sz w:val="22"/>
              </w:rPr>
              <w:t>Industrial Demand</w:t>
            </w:r>
          </w:p>
        </w:tc>
        <w:tc>
          <w:tcPr>
            <w:tcW w:type="dxa" w:w="2880"/>
          </w:tcPr>
          <w:p>
            <w:r>
              <w:rPr>
                <w:rFonts w:ascii="Calibri" w:hAnsi="Calibri"/>
                <w:sz w:val="22"/>
              </w:rPr>
              <w:t>Broad-based recovery; DOV +5% organic, GGG orders +14% recent 6-wk, RRX orders +4.6% in April</w:t>
            </w:r>
          </w:p>
        </w:tc>
        <w:tc>
          <w:tcPr>
            <w:tcW w:type="dxa" w:w="2880"/>
          </w:tcPr>
          <w:p>
            <w:r>
              <w:rPr>
                <w:rFonts w:ascii="Calibri" w:hAnsi="Calibri"/>
                <w:b/>
                <w:color w:val="30A46C"/>
                <w:sz w:val="22"/>
              </w:rPr>
              <w:t>Positive</w:t>
            </w:r>
          </w:p>
        </w:tc>
      </w:tr>
      <w:tr>
        <w:tc>
          <w:tcPr>
            <w:tcW w:type="dxa" w:w="2880"/>
          </w:tcPr>
          <w:p>
            <w:r>
              <w:rPr>
                <w:rFonts w:ascii="Calibri" w:hAnsi="Calibri"/>
                <w:sz w:val="22"/>
              </w:rPr>
              <w:t>Data Center Infrastructure</w:t>
            </w:r>
          </w:p>
        </w:tc>
        <w:tc>
          <w:tcPr>
            <w:tcW w:type="dxa" w:w="2880"/>
          </w:tcPr>
          <w:p>
            <w:r>
              <w:rPr>
                <w:rFonts w:ascii="Calibri" w:hAnsi="Calibri"/>
                <w:sz w:val="22"/>
              </w:rPr>
              <w:t>DOV heat exchangers best quarter ever; RRX “very bullish”; NDSN semiconductor early innings</w:t>
            </w:r>
          </w:p>
        </w:tc>
        <w:tc>
          <w:tcPr>
            <w:tcW w:type="dxa" w:w="2880"/>
          </w:tcPr>
          <w:p>
            <w:r>
              <w:rPr>
                <w:rFonts w:ascii="Calibri" w:hAnsi="Calibri"/>
                <w:b/>
                <w:color w:val="30A46C"/>
                <w:sz w:val="22"/>
              </w:rPr>
              <w:t>Positive</w:t>
            </w:r>
          </w:p>
        </w:tc>
      </w:tr>
      <w:tr>
        <w:tc>
          <w:tcPr>
            <w:tcW w:type="dxa" w:w="2880"/>
          </w:tcPr>
          <w:p>
            <w:r>
              <w:rPr>
                <w:rFonts w:ascii="Calibri" w:hAnsi="Calibri"/>
                <w:sz w:val="22"/>
              </w:rPr>
              <w:t>Pricing / Tariffs</w:t>
            </w:r>
          </w:p>
        </w:tc>
        <w:tc>
          <w:tcPr>
            <w:tcW w:type="dxa" w:w="2880"/>
          </w:tcPr>
          <w:p>
            <w:r>
              <w:rPr>
                <w:rFonts w:ascii="Calibri" w:hAnsi="Calibri"/>
                <w:sz w:val="22"/>
              </w:rPr>
              <w:t>Price-cost positive across peers; tariff impacts manageable or declining</w:t>
            </w:r>
          </w:p>
        </w:tc>
        <w:tc>
          <w:tcPr>
            <w:tcW w:type="dxa" w:w="2880"/>
          </w:tcPr>
          <w:p>
            <w:r>
              <w:rPr>
                <w:rFonts w:ascii="Calibri" w:hAnsi="Calibri"/>
                <w:b/>
                <w:color w:val="30A46C"/>
                <w:sz w:val="22"/>
              </w:rPr>
              <w:t>Positive</w:t>
            </w:r>
          </w:p>
        </w:tc>
      </w:tr>
      <w:tr>
        <w:tc>
          <w:tcPr>
            <w:tcW w:type="dxa" w:w="2880"/>
          </w:tcPr>
          <w:p>
            <w:r>
              <w:rPr>
                <w:rFonts w:ascii="Calibri" w:hAnsi="Calibri"/>
                <w:sz w:val="22"/>
              </w:rPr>
              <w:t>H2 Outlook</w:t>
            </w:r>
          </w:p>
        </w:tc>
        <w:tc>
          <w:tcPr>
            <w:tcW w:type="dxa" w:w="2880"/>
          </w:tcPr>
          <w:p>
            <w:r>
              <w:rPr>
                <w:rFonts w:ascii="Calibri" w:hAnsi="Calibri"/>
                <w:sz w:val="22"/>
              </w:rPr>
              <w:t>All peers expect H2 stronger than H1; DOV raised guidance; NDSN raised guidance</w:t>
            </w:r>
          </w:p>
        </w:tc>
        <w:tc>
          <w:tcPr>
            <w:tcW w:type="dxa" w:w="2880"/>
          </w:tcPr>
          <w:p>
            <w:r>
              <w:rPr>
                <w:rFonts w:ascii="Calibri" w:hAnsi="Calibri"/>
                <w:b/>
                <w:color w:val="30A46C"/>
                <w:sz w:val="22"/>
              </w:rPr>
              <w:t>Positive</w:t>
            </w:r>
          </w:p>
        </w:tc>
      </w:tr>
      <w:tr>
        <w:tc>
          <w:tcPr>
            <w:tcW w:type="dxa" w:w="2880"/>
          </w:tcPr>
          <w:p>
            <w:r>
              <w:rPr>
                <w:rFonts w:ascii="Calibri" w:hAnsi="Calibri"/>
                <w:sz w:val="22"/>
              </w:rPr>
              <w:t>China</w:t>
            </w:r>
          </w:p>
        </w:tc>
        <w:tc>
          <w:tcPr>
            <w:tcW w:type="dxa" w:w="2880"/>
          </w:tcPr>
          <w:p>
            <w:r>
              <w:rPr>
                <w:rFonts w:ascii="Calibri" w:hAnsi="Calibri"/>
                <w:sz w:val="22"/>
              </w:rPr>
              <w:t>Shared headwind; GGG slower in China; EMR China down mid-single digits for year</w:t>
            </w:r>
          </w:p>
        </w:tc>
        <w:tc>
          <w:tcPr>
            <w:tcW w:type="dxa" w:w="2880"/>
          </w:tcPr>
          <w:p>
            <w:r>
              <w:rPr>
                <w:rFonts w:ascii="Calibri" w:hAnsi="Calibri"/>
                <w:b/>
                <w:color w:val="002FA7"/>
                <w:sz w:val="22"/>
              </w:rPr>
              <w:t>Neutral / Consistent with guidance</w:t>
            </w:r>
          </w:p>
        </w:tc>
      </w:tr>
      <w:tr>
        <w:tc>
          <w:tcPr>
            <w:tcW w:type="dxa" w:w="2880"/>
          </w:tcPr>
          <w:p>
            <w:r>
              <w:rPr>
                <w:rFonts w:ascii="Calibri" w:hAnsi="Calibri"/>
                <w:sz w:val="22"/>
              </w:rPr>
              <w:t>Organic Growth Gap</w:t>
            </w:r>
          </w:p>
        </w:tc>
        <w:tc>
          <w:tcPr>
            <w:tcW w:type="dxa" w:w="2880"/>
          </w:tcPr>
          <w:p>
            <w:r>
              <w:rPr>
                <w:rFonts w:ascii="Calibri" w:hAnsi="Calibri"/>
                <w:sz w:val="22"/>
              </w:rPr>
              <w:t>Peers growing 3%–5% organically vs. XYL guided ~1% — gap is company-specific (80/20 walkaway)</w:t>
            </w:r>
          </w:p>
        </w:tc>
        <w:tc>
          <w:tcPr>
            <w:tcW w:type="dxa" w:w="2880"/>
          </w:tcPr>
          <w:p>
            <w:r>
              <w:rPr>
                <w:rFonts w:ascii="Calibri" w:hAnsi="Calibri"/>
                <w:b/>
                <w:color w:val="002FA7"/>
                <w:sz w:val="22"/>
              </w:rPr>
              <w:t>Neutral — not a demand signal</w:t>
            </w:r>
          </w:p>
        </w:tc>
      </w:tr>
    </w:tbl>
    <w:p>
      <w:r>
        <w:br w:type="page"/>
      </w:r>
    </w:p>
    <w:p>
      <w:pPr>
        <w:pStyle w:val="Heading2"/>
      </w:pPr>
      <w:r>
        <w:rPr>
          <w:rFonts w:ascii="Calibri" w:hAnsi="Calibri"/>
          <w:b/>
          <w:color w:val="3B4259"/>
          <w:sz w:val="28"/>
        </w:rPr>
        <w:t>8. Insider Transaction Activity</w:t>
      </w:r>
    </w:p>
    <w:p>
      <w:r>
        <w:rPr>
          <w:rFonts w:ascii="Calibri" w:hAnsi="Calibri"/>
          <w:b/>
          <w:color w:val="525866"/>
          <w:sz w:val="22"/>
        </w:rPr>
        <w:t xml:space="preserve">Key Takeaway: </w:t>
      </w:r>
      <w:r>
        <w:rPr>
          <w:rFonts w:ascii="Calibri" w:hAnsi="Calibri"/>
          <w:color w:val="525866"/>
          <w:sz w:val="22"/>
        </w:rPr>
        <w:t>No open-market buys or discretionary sells from senior executives since Q1 earnings. Director stock awards (routine annual grants) were made in May — these are compensation-driven and carry no informational signal. One notable open-market buy by Director Jerome Peribere (~$140K) on May 4 is a mild positive signal.</w:t>
      </w:r>
    </w:p>
    <w:tbl>
      <w:tblPr>
        <w:tblStyle w:val="TableGrid"/>
        <w:tblW w:type="auto" w:w="0"/>
        <w:tblLook w:firstColumn="1" w:firstRow="1" w:lastColumn="0" w:lastRow="0" w:noHBand="0" w:noVBand="1" w:val="04A0"/>
      </w:tblPr>
      <w:tblGrid>
        <w:gridCol w:w="1234"/>
        <w:gridCol w:w="1234"/>
        <w:gridCol w:w="1234"/>
        <w:gridCol w:w="1234"/>
        <w:gridCol w:w="1234"/>
        <w:gridCol w:w="1234"/>
        <w:gridCol w:w="1234"/>
      </w:tblGrid>
      <w:tr>
        <w:tc>
          <w:tcPr>
            <w:tcW w:type="dxa" w:w="1234"/>
            <w:shd w:val="clear" w:color="auto" w:fill="3B4259"/>
          </w:tcPr>
          <w:p>
            <w:r>
              <w:rPr>
                <w:rFonts w:ascii="Calibri" w:hAnsi="Calibri"/>
                <w:b/>
                <w:color w:val="FFFFFF"/>
                <w:sz w:val="22"/>
              </w:rPr>
              <w:t>Name</w:t>
            </w:r>
          </w:p>
        </w:tc>
        <w:tc>
          <w:tcPr>
            <w:tcW w:type="dxa" w:w="1234"/>
            <w:shd w:val="clear" w:color="auto" w:fill="3B4259"/>
          </w:tcPr>
          <w:p>
            <w:r>
              <w:rPr>
                <w:rFonts w:ascii="Calibri" w:hAnsi="Calibri"/>
                <w:b/>
                <w:color w:val="FFFFFF"/>
                <w:sz w:val="22"/>
              </w:rPr>
              <w:t>Title</w:t>
            </w:r>
          </w:p>
        </w:tc>
        <w:tc>
          <w:tcPr>
            <w:tcW w:type="dxa" w:w="1234"/>
            <w:shd w:val="clear" w:color="auto" w:fill="3B4259"/>
          </w:tcPr>
          <w:p>
            <w:r>
              <w:rPr>
                <w:rFonts w:ascii="Calibri" w:hAnsi="Calibri"/>
                <w:b/>
                <w:color w:val="FFFFFF"/>
                <w:sz w:val="22"/>
              </w:rPr>
              <w:t>Transaction Type</w:t>
            </w:r>
          </w:p>
        </w:tc>
        <w:tc>
          <w:tcPr>
            <w:tcW w:type="dxa" w:w="1234"/>
            <w:shd w:val="clear" w:color="auto" w:fill="3B4259"/>
          </w:tcPr>
          <w:p>
            <w:r>
              <w:rPr>
                <w:rFonts w:ascii="Calibri" w:hAnsi="Calibri"/>
                <w:b/>
                <w:color w:val="FFFFFF"/>
                <w:sz w:val="22"/>
              </w:rPr>
              <w:t>Shares</w:t>
            </w:r>
          </w:p>
        </w:tc>
        <w:tc>
          <w:tcPr>
            <w:tcW w:type="dxa" w:w="1234"/>
            <w:shd w:val="clear" w:color="auto" w:fill="3B4259"/>
          </w:tcPr>
          <w:p>
            <w:r>
              <w:rPr>
                <w:rFonts w:ascii="Calibri" w:hAnsi="Calibri"/>
                <w:b/>
                <w:color w:val="FFFFFF"/>
                <w:sz w:val="22"/>
              </w:rPr>
              <w:t>Date (Effective)</w:t>
            </w:r>
          </w:p>
        </w:tc>
        <w:tc>
          <w:tcPr>
            <w:tcW w:type="dxa" w:w="1234"/>
            <w:shd w:val="clear" w:color="auto" w:fill="3B4259"/>
          </w:tcPr>
          <w:p>
            <w:r>
              <w:rPr>
                <w:rFonts w:ascii="Calibri" w:hAnsi="Calibri"/>
                <w:b/>
                <w:color w:val="FFFFFF"/>
                <w:sz w:val="22"/>
              </w:rPr>
              <w:t>Date (Disclosed)</w:t>
            </w:r>
          </w:p>
        </w:tc>
        <w:tc>
          <w:tcPr>
            <w:tcW w:type="dxa" w:w="1234"/>
            <w:shd w:val="clear" w:color="auto" w:fill="3B4259"/>
          </w:tcPr>
          <w:p>
            <w:r>
              <w:rPr>
                <w:rFonts w:ascii="Calibri" w:hAnsi="Calibri"/>
                <w:b/>
                <w:color w:val="FFFFFF"/>
                <w:sz w:val="22"/>
              </w:rPr>
              <w:t>Note</w:t>
            </w:r>
          </w:p>
        </w:tc>
      </w:tr>
      <w:tr>
        <w:tc>
          <w:tcPr>
            <w:tcW w:type="dxa" w:w="1234"/>
          </w:tcPr>
          <w:p>
            <w:r>
              <w:rPr>
                <w:rFonts w:ascii="Calibri" w:hAnsi="Calibri"/>
                <w:sz w:val="22"/>
              </w:rPr>
              <w:t>Jerome A. Peribere</w:t>
            </w:r>
          </w:p>
        </w:tc>
        <w:tc>
          <w:tcPr>
            <w:tcW w:type="dxa" w:w="1234"/>
          </w:tcPr>
          <w:p>
            <w:r>
              <w:rPr>
                <w:rFonts w:ascii="Calibri" w:hAnsi="Calibri"/>
                <w:sz w:val="22"/>
              </w:rPr>
              <w:t>Director</w:t>
            </w:r>
          </w:p>
        </w:tc>
        <w:tc>
          <w:tcPr>
            <w:tcW w:type="dxa" w:w="1234"/>
          </w:tcPr>
          <w:p>
            <w:r>
              <w:rPr>
                <w:rFonts w:ascii="Calibri" w:hAnsi="Calibri"/>
                <w:b/>
                <w:color w:val="30A46C"/>
                <w:sz w:val="22"/>
              </w:rPr>
              <w:t>Open Market Buy</w:t>
            </w:r>
          </w:p>
        </w:tc>
        <w:tc>
          <w:tcPr>
            <w:tcW w:type="dxa" w:w="1234"/>
          </w:tcPr>
          <w:p>
            <w:r>
              <w:rPr>
                <w:rFonts w:ascii="Calibri" w:hAnsi="Calibri"/>
                <w:sz w:val="22"/>
              </w:rPr>
              <w:t>1,210</w:t>
            </w:r>
          </w:p>
        </w:tc>
        <w:tc>
          <w:tcPr>
            <w:tcW w:type="dxa" w:w="1234"/>
          </w:tcPr>
          <w:p>
            <w:r>
              <w:rPr>
                <w:rFonts w:ascii="Calibri" w:hAnsi="Calibri"/>
                <w:sz w:val="22"/>
              </w:rPr>
              <w:t>May 4, 2026</w:t>
            </w:r>
          </w:p>
        </w:tc>
        <w:tc>
          <w:tcPr>
            <w:tcW w:type="dxa" w:w="1234"/>
          </w:tcPr>
          <w:p>
            <w:r>
              <w:rPr>
                <w:rFonts w:ascii="Calibri" w:hAnsi="Calibri"/>
                <w:sz w:val="22"/>
              </w:rPr>
              <w:t>May 4, 2026</w:t>
            </w:r>
          </w:p>
        </w:tc>
        <w:tc>
          <w:tcPr>
            <w:tcW w:type="dxa" w:w="1234"/>
          </w:tcPr>
          <w:p>
            <w:r>
              <w:rPr>
                <w:rFonts w:ascii="Calibri" w:hAnsi="Calibri"/>
                <w:sz w:val="22"/>
              </w:rPr>
              <w:t>Purchased via revocable trust; only open-market buy in the period — mild positive signal</w:t>
            </w:r>
          </w:p>
        </w:tc>
      </w:tr>
      <w:tr>
        <w:tc>
          <w:tcPr>
            <w:tcW w:type="dxa" w:w="1234"/>
          </w:tcPr>
          <w:p>
            <w:r>
              <w:rPr>
                <w:rFonts w:ascii="Calibri" w:hAnsi="Calibri"/>
                <w:sz w:val="22"/>
              </w:rPr>
              <w:t>Geri-Michelle McShane</w:t>
            </w:r>
          </w:p>
        </w:tc>
        <w:tc>
          <w:tcPr>
            <w:tcW w:type="dxa" w:w="1234"/>
          </w:tcPr>
          <w:p>
            <w:r>
              <w:rPr>
                <w:rFonts w:ascii="Calibri" w:hAnsi="Calibri"/>
                <w:sz w:val="22"/>
              </w:rPr>
              <w:t>SVP, CAO</w:t>
            </w:r>
          </w:p>
        </w:tc>
        <w:tc>
          <w:tcPr>
            <w:tcW w:type="dxa" w:w="1234"/>
          </w:tcPr>
          <w:p>
            <w:r>
              <w:rPr>
                <w:rFonts w:ascii="Calibri" w:hAnsi="Calibri"/>
                <w:sz w:val="22"/>
              </w:rPr>
              <w:t>Open Market Sale</w:t>
            </w:r>
          </w:p>
        </w:tc>
        <w:tc>
          <w:tcPr>
            <w:tcW w:type="dxa" w:w="1234"/>
          </w:tcPr>
          <w:p>
            <w:r>
              <w:rPr>
                <w:rFonts w:ascii="Calibri" w:hAnsi="Calibri"/>
                <w:sz w:val="22"/>
              </w:rPr>
              <w:t>4,269</w:t>
            </w:r>
          </w:p>
        </w:tc>
        <w:tc>
          <w:tcPr>
            <w:tcW w:type="dxa" w:w="1234"/>
          </w:tcPr>
          <w:p>
            <w:r>
              <w:rPr>
                <w:rFonts w:ascii="Calibri" w:hAnsi="Calibri"/>
                <w:sz w:val="22"/>
              </w:rPr>
              <w:t>May 7, 2026</w:t>
            </w:r>
          </w:p>
        </w:tc>
        <w:tc>
          <w:tcPr>
            <w:tcW w:type="dxa" w:w="1234"/>
          </w:tcPr>
          <w:p>
            <w:r>
              <w:rPr>
                <w:rFonts w:ascii="Calibri" w:hAnsi="Calibri"/>
                <w:sz w:val="22"/>
              </w:rPr>
              <w:t>May 8, 2026</w:t>
            </w:r>
          </w:p>
        </w:tc>
        <w:tc>
          <w:tcPr>
            <w:tcW w:type="dxa" w:w="1234"/>
          </w:tcPr>
          <w:p>
            <w:r>
              <w:rPr>
                <w:rFonts w:ascii="Calibri" w:hAnsi="Calibri"/>
                <w:sz w:val="22"/>
              </w:rPr>
              <w:t>Accompanied by option exercise (M-code); likely sell-to-cover for tax withholding — routine</w:t>
            </w:r>
          </w:p>
        </w:tc>
      </w:tr>
      <w:tr>
        <w:tc>
          <w:tcPr>
            <w:tcW w:type="dxa" w:w="1234"/>
          </w:tcPr>
          <w:p>
            <w:r>
              <w:rPr>
                <w:rFonts w:ascii="Calibri" w:hAnsi="Calibri"/>
                <w:sz w:val="22"/>
              </w:rPr>
              <w:t>Earl Ray Ellis</w:t>
            </w:r>
          </w:p>
        </w:tc>
        <w:tc>
          <w:tcPr>
            <w:tcW w:type="dxa" w:w="1234"/>
          </w:tcPr>
          <w:p>
            <w:r>
              <w:rPr>
                <w:rFonts w:ascii="Calibri" w:hAnsi="Calibri"/>
                <w:sz w:val="22"/>
              </w:rPr>
              <w:t>Director</w:t>
            </w:r>
          </w:p>
        </w:tc>
        <w:tc>
          <w:tcPr>
            <w:tcW w:type="dxa" w:w="1234"/>
          </w:tcPr>
          <w:p>
            <w:r>
              <w:rPr>
                <w:rFonts w:ascii="Calibri" w:hAnsi="Calibri"/>
                <w:sz w:val="22"/>
              </w:rPr>
              <w:t>Award (A)</w:t>
            </w:r>
          </w:p>
        </w:tc>
        <w:tc>
          <w:tcPr>
            <w:tcW w:type="dxa" w:w="1234"/>
          </w:tcPr>
          <w:p>
            <w:r>
              <w:rPr>
                <w:rFonts w:ascii="Calibri" w:hAnsi="Calibri"/>
                <w:sz w:val="22"/>
              </w:rPr>
              <w:t>1,711</w:t>
            </w:r>
          </w:p>
        </w:tc>
        <w:tc>
          <w:tcPr>
            <w:tcW w:type="dxa" w:w="1234"/>
          </w:tcPr>
          <w:p>
            <w:r>
              <w:rPr>
                <w:rFonts w:ascii="Calibri" w:hAnsi="Calibri"/>
                <w:sz w:val="22"/>
              </w:rPr>
              <w:t>May 14, 2026</w:t>
            </w:r>
          </w:p>
        </w:tc>
        <w:tc>
          <w:tcPr>
            <w:tcW w:type="dxa" w:w="1234"/>
          </w:tcPr>
          <w:p>
            <w:r>
              <w:rPr>
                <w:rFonts w:ascii="Calibri" w:hAnsi="Calibri"/>
                <w:sz w:val="22"/>
              </w:rPr>
              <w:t>May 15, 2026</w:t>
            </w:r>
          </w:p>
        </w:tc>
        <w:tc>
          <w:tcPr>
            <w:tcW w:type="dxa" w:w="1234"/>
          </w:tcPr>
          <w:p>
            <w:r>
              <w:rPr>
                <w:rFonts w:ascii="Calibri" w:hAnsi="Calibri"/>
                <w:sz w:val="22"/>
              </w:rPr>
              <w:t>Annual director stock award — compensation-driven, no signal</w:t>
            </w:r>
          </w:p>
        </w:tc>
      </w:tr>
      <w:tr>
        <w:tc>
          <w:tcPr>
            <w:tcW w:type="dxa" w:w="1234"/>
          </w:tcPr>
          <w:p>
            <w:r>
              <w:rPr>
                <w:rFonts w:ascii="Calibri" w:hAnsi="Calibri"/>
                <w:sz w:val="22"/>
              </w:rPr>
              <w:t>Robert F. Friel</w:t>
            </w:r>
          </w:p>
        </w:tc>
        <w:tc>
          <w:tcPr>
            <w:tcW w:type="dxa" w:w="1234"/>
          </w:tcPr>
          <w:p>
            <w:r>
              <w:rPr>
                <w:rFonts w:ascii="Calibri" w:hAnsi="Calibri"/>
                <w:sz w:val="22"/>
              </w:rPr>
              <w:t>Director</w:t>
            </w:r>
          </w:p>
        </w:tc>
        <w:tc>
          <w:tcPr>
            <w:tcW w:type="dxa" w:w="1234"/>
          </w:tcPr>
          <w:p>
            <w:r>
              <w:rPr>
                <w:rFonts w:ascii="Calibri" w:hAnsi="Calibri"/>
                <w:sz w:val="22"/>
              </w:rPr>
              <w:t>Award (A)</w:t>
            </w:r>
          </w:p>
        </w:tc>
        <w:tc>
          <w:tcPr>
            <w:tcW w:type="dxa" w:w="1234"/>
          </w:tcPr>
          <w:p>
            <w:r>
              <w:rPr>
                <w:rFonts w:ascii="Calibri" w:hAnsi="Calibri"/>
                <w:sz w:val="22"/>
              </w:rPr>
              <w:t>2,481</w:t>
            </w:r>
          </w:p>
        </w:tc>
        <w:tc>
          <w:tcPr>
            <w:tcW w:type="dxa" w:w="1234"/>
          </w:tcPr>
          <w:p>
            <w:r>
              <w:rPr>
                <w:rFonts w:ascii="Calibri" w:hAnsi="Calibri"/>
                <w:sz w:val="22"/>
              </w:rPr>
              <w:t>May 14, 2026</w:t>
            </w:r>
          </w:p>
        </w:tc>
        <w:tc>
          <w:tcPr>
            <w:tcW w:type="dxa" w:w="1234"/>
          </w:tcPr>
          <w:p>
            <w:r>
              <w:rPr>
                <w:rFonts w:ascii="Calibri" w:hAnsi="Calibri"/>
                <w:sz w:val="22"/>
              </w:rPr>
              <w:t>May 15, 2026</w:t>
            </w:r>
          </w:p>
        </w:tc>
        <w:tc>
          <w:tcPr>
            <w:tcW w:type="dxa" w:w="1234"/>
          </w:tcPr>
          <w:p>
            <w:r>
              <w:rPr>
                <w:rFonts w:ascii="Calibri" w:hAnsi="Calibri"/>
                <w:sz w:val="22"/>
              </w:rPr>
              <w:t>Annual director stock award — compensation-driven, no signal</w:t>
            </w:r>
          </w:p>
        </w:tc>
      </w:tr>
      <w:tr>
        <w:tc>
          <w:tcPr>
            <w:tcW w:type="dxa" w:w="1234"/>
          </w:tcPr>
          <w:p>
            <w:r>
              <w:rPr>
                <w:rFonts w:ascii="Calibri" w:hAnsi="Calibri"/>
                <w:sz w:val="22"/>
              </w:rPr>
              <w:t>Lisa Glatch</w:t>
            </w:r>
          </w:p>
        </w:tc>
        <w:tc>
          <w:tcPr>
            <w:tcW w:type="dxa" w:w="1234"/>
          </w:tcPr>
          <w:p>
            <w:r>
              <w:rPr>
                <w:rFonts w:ascii="Calibri" w:hAnsi="Calibri"/>
                <w:sz w:val="22"/>
              </w:rPr>
              <w:t>Director</w:t>
            </w:r>
          </w:p>
        </w:tc>
        <w:tc>
          <w:tcPr>
            <w:tcW w:type="dxa" w:w="1234"/>
          </w:tcPr>
          <w:p>
            <w:r>
              <w:rPr>
                <w:rFonts w:ascii="Calibri" w:hAnsi="Calibri"/>
                <w:sz w:val="22"/>
              </w:rPr>
              <w:t>Award (A)</w:t>
            </w:r>
          </w:p>
        </w:tc>
        <w:tc>
          <w:tcPr>
            <w:tcW w:type="dxa" w:w="1234"/>
          </w:tcPr>
          <w:p>
            <w:r>
              <w:rPr>
                <w:rFonts w:ascii="Calibri" w:hAnsi="Calibri"/>
                <w:sz w:val="22"/>
              </w:rPr>
              <w:t>1,711</w:t>
            </w:r>
          </w:p>
        </w:tc>
        <w:tc>
          <w:tcPr>
            <w:tcW w:type="dxa" w:w="1234"/>
          </w:tcPr>
          <w:p>
            <w:r>
              <w:rPr>
                <w:rFonts w:ascii="Calibri" w:hAnsi="Calibri"/>
                <w:sz w:val="22"/>
              </w:rPr>
              <w:t>May 14, 2026</w:t>
            </w:r>
          </w:p>
        </w:tc>
        <w:tc>
          <w:tcPr>
            <w:tcW w:type="dxa" w:w="1234"/>
          </w:tcPr>
          <w:p>
            <w:r>
              <w:rPr>
                <w:rFonts w:ascii="Calibri" w:hAnsi="Calibri"/>
                <w:sz w:val="22"/>
              </w:rPr>
              <w:t>May 15, 2026</w:t>
            </w:r>
          </w:p>
        </w:tc>
        <w:tc>
          <w:tcPr>
            <w:tcW w:type="dxa" w:w="1234"/>
          </w:tcPr>
          <w:p>
            <w:r>
              <w:rPr>
                <w:rFonts w:ascii="Calibri" w:hAnsi="Calibri"/>
                <w:sz w:val="22"/>
              </w:rPr>
              <w:t>Annual director stock award — compensation-driven, no signal</w:t>
            </w:r>
          </w:p>
        </w:tc>
      </w:tr>
      <w:tr>
        <w:tc>
          <w:tcPr>
            <w:tcW w:type="dxa" w:w="1234"/>
          </w:tcPr>
          <w:p>
            <w:r>
              <w:rPr>
                <w:rFonts w:ascii="Calibri" w:hAnsi="Calibri"/>
                <w:sz w:val="22"/>
              </w:rPr>
              <w:t>Victoria D. Harker</w:t>
            </w:r>
          </w:p>
        </w:tc>
        <w:tc>
          <w:tcPr>
            <w:tcW w:type="dxa" w:w="1234"/>
          </w:tcPr>
          <w:p>
            <w:r>
              <w:rPr>
                <w:rFonts w:ascii="Calibri" w:hAnsi="Calibri"/>
                <w:sz w:val="22"/>
              </w:rPr>
              <w:t>Director</w:t>
            </w:r>
          </w:p>
        </w:tc>
        <w:tc>
          <w:tcPr>
            <w:tcW w:type="dxa" w:w="1234"/>
          </w:tcPr>
          <w:p>
            <w:r>
              <w:rPr>
                <w:rFonts w:ascii="Calibri" w:hAnsi="Calibri"/>
                <w:sz w:val="22"/>
              </w:rPr>
              <w:t>Award (A)</w:t>
            </w:r>
          </w:p>
        </w:tc>
        <w:tc>
          <w:tcPr>
            <w:tcW w:type="dxa" w:w="1234"/>
          </w:tcPr>
          <w:p>
            <w:r>
              <w:rPr>
                <w:rFonts w:ascii="Calibri" w:hAnsi="Calibri"/>
                <w:sz w:val="22"/>
              </w:rPr>
              <w:t>1,711</w:t>
            </w:r>
          </w:p>
        </w:tc>
        <w:tc>
          <w:tcPr>
            <w:tcW w:type="dxa" w:w="1234"/>
          </w:tcPr>
          <w:p>
            <w:r>
              <w:rPr>
                <w:rFonts w:ascii="Calibri" w:hAnsi="Calibri"/>
                <w:sz w:val="22"/>
              </w:rPr>
              <w:t>May 14, 2026</w:t>
            </w:r>
          </w:p>
        </w:tc>
        <w:tc>
          <w:tcPr>
            <w:tcW w:type="dxa" w:w="1234"/>
          </w:tcPr>
          <w:p>
            <w:r>
              <w:rPr>
                <w:rFonts w:ascii="Calibri" w:hAnsi="Calibri"/>
                <w:sz w:val="22"/>
              </w:rPr>
              <w:t>May 15, 2026</w:t>
            </w:r>
          </w:p>
        </w:tc>
        <w:tc>
          <w:tcPr>
            <w:tcW w:type="dxa" w:w="1234"/>
          </w:tcPr>
          <w:p>
            <w:r>
              <w:rPr>
                <w:rFonts w:ascii="Calibri" w:hAnsi="Calibri"/>
                <w:sz w:val="22"/>
              </w:rPr>
              <w:t>Annual director stock award — compensation-driven, no signal</w:t>
            </w:r>
          </w:p>
        </w:tc>
      </w:tr>
      <w:tr>
        <w:tc>
          <w:tcPr>
            <w:tcW w:type="dxa" w:w="1234"/>
          </w:tcPr>
          <w:p>
            <w:r>
              <w:rPr>
                <w:rFonts w:ascii="Calibri" w:hAnsi="Calibri"/>
                <w:sz w:val="22"/>
              </w:rPr>
              <w:t>Mark D. Morelli</w:t>
            </w:r>
          </w:p>
        </w:tc>
        <w:tc>
          <w:tcPr>
            <w:tcW w:type="dxa" w:w="1234"/>
          </w:tcPr>
          <w:p>
            <w:r>
              <w:rPr>
                <w:rFonts w:ascii="Calibri" w:hAnsi="Calibri"/>
                <w:sz w:val="22"/>
              </w:rPr>
              <w:t>Director</w:t>
            </w:r>
          </w:p>
        </w:tc>
        <w:tc>
          <w:tcPr>
            <w:tcW w:type="dxa" w:w="1234"/>
          </w:tcPr>
          <w:p>
            <w:r>
              <w:rPr>
                <w:rFonts w:ascii="Calibri" w:hAnsi="Calibri"/>
                <w:sz w:val="22"/>
              </w:rPr>
              <w:t>Award (A)</w:t>
            </w:r>
          </w:p>
        </w:tc>
        <w:tc>
          <w:tcPr>
            <w:tcW w:type="dxa" w:w="1234"/>
          </w:tcPr>
          <w:p>
            <w:r>
              <w:rPr>
                <w:rFonts w:ascii="Calibri" w:hAnsi="Calibri"/>
                <w:sz w:val="22"/>
              </w:rPr>
              <w:t>1,711</w:t>
            </w:r>
          </w:p>
        </w:tc>
        <w:tc>
          <w:tcPr>
            <w:tcW w:type="dxa" w:w="1234"/>
          </w:tcPr>
          <w:p>
            <w:r>
              <w:rPr>
                <w:rFonts w:ascii="Calibri" w:hAnsi="Calibri"/>
                <w:sz w:val="22"/>
              </w:rPr>
              <w:t>May 14, 2026</w:t>
            </w:r>
          </w:p>
        </w:tc>
        <w:tc>
          <w:tcPr>
            <w:tcW w:type="dxa" w:w="1234"/>
          </w:tcPr>
          <w:p>
            <w:r>
              <w:rPr>
                <w:rFonts w:ascii="Calibri" w:hAnsi="Calibri"/>
                <w:sz w:val="22"/>
              </w:rPr>
              <w:t>May 15, 2026</w:t>
            </w:r>
          </w:p>
        </w:tc>
        <w:tc>
          <w:tcPr>
            <w:tcW w:type="dxa" w:w="1234"/>
          </w:tcPr>
          <w:p>
            <w:r>
              <w:rPr>
                <w:rFonts w:ascii="Calibri" w:hAnsi="Calibri"/>
                <w:sz w:val="22"/>
              </w:rPr>
              <w:t>Annual director stock award — compensation-driven, no signal</w:t>
            </w:r>
          </w:p>
        </w:tc>
      </w:tr>
      <w:tr>
        <w:tc>
          <w:tcPr>
            <w:tcW w:type="dxa" w:w="1234"/>
          </w:tcPr>
          <w:p>
            <w:r>
              <w:rPr>
                <w:rFonts w:ascii="Calibri" w:hAnsi="Calibri"/>
                <w:sz w:val="22"/>
              </w:rPr>
              <w:t>Lila Tretikov</w:t>
            </w:r>
          </w:p>
        </w:tc>
        <w:tc>
          <w:tcPr>
            <w:tcW w:type="dxa" w:w="1234"/>
          </w:tcPr>
          <w:p>
            <w:r>
              <w:rPr>
                <w:rFonts w:ascii="Calibri" w:hAnsi="Calibri"/>
                <w:sz w:val="22"/>
              </w:rPr>
              <w:t>Director</w:t>
            </w:r>
          </w:p>
        </w:tc>
        <w:tc>
          <w:tcPr>
            <w:tcW w:type="dxa" w:w="1234"/>
          </w:tcPr>
          <w:p>
            <w:r>
              <w:rPr>
                <w:rFonts w:ascii="Calibri" w:hAnsi="Calibri"/>
                <w:sz w:val="22"/>
              </w:rPr>
              <w:t>Award (A)</w:t>
            </w:r>
          </w:p>
        </w:tc>
        <w:tc>
          <w:tcPr>
            <w:tcW w:type="dxa" w:w="1234"/>
          </w:tcPr>
          <w:p>
            <w:r>
              <w:rPr>
                <w:rFonts w:ascii="Calibri" w:hAnsi="Calibri"/>
                <w:sz w:val="22"/>
              </w:rPr>
              <w:t>1,711</w:t>
            </w:r>
          </w:p>
        </w:tc>
        <w:tc>
          <w:tcPr>
            <w:tcW w:type="dxa" w:w="1234"/>
          </w:tcPr>
          <w:p>
            <w:r>
              <w:rPr>
                <w:rFonts w:ascii="Calibri" w:hAnsi="Calibri"/>
                <w:sz w:val="22"/>
              </w:rPr>
              <w:t>May 14, 2026</w:t>
            </w:r>
          </w:p>
        </w:tc>
        <w:tc>
          <w:tcPr>
            <w:tcW w:type="dxa" w:w="1234"/>
          </w:tcPr>
          <w:p>
            <w:r>
              <w:rPr>
                <w:rFonts w:ascii="Calibri" w:hAnsi="Calibri"/>
                <w:sz w:val="22"/>
              </w:rPr>
              <w:t>May 15, 2026</w:t>
            </w:r>
          </w:p>
        </w:tc>
        <w:tc>
          <w:tcPr>
            <w:tcW w:type="dxa" w:w="1234"/>
          </w:tcPr>
          <w:p>
            <w:r>
              <w:rPr>
                <w:rFonts w:ascii="Calibri" w:hAnsi="Calibri"/>
                <w:sz w:val="22"/>
              </w:rPr>
              <w:t>Annual director stock award — compensation-driven, no signal</w:t>
            </w:r>
          </w:p>
        </w:tc>
      </w:tr>
      <w:tr>
        <w:tc>
          <w:tcPr>
            <w:tcW w:type="dxa" w:w="1234"/>
          </w:tcPr>
          <w:p>
            <w:r>
              <w:rPr>
                <w:rFonts w:ascii="Calibri" w:hAnsi="Calibri"/>
                <w:sz w:val="22"/>
              </w:rPr>
              <w:t>Uday Yadav</w:t>
            </w:r>
          </w:p>
        </w:tc>
        <w:tc>
          <w:tcPr>
            <w:tcW w:type="dxa" w:w="1234"/>
          </w:tcPr>
          <w:p>
            <w:r>
              <w:rPr>
                <w:rFonts w:ascii="Calibri" w:hAnsi="Calibri"/>
                <w:sz w:val="22"/>
              </w:rPr>
              <w:t>Director</w:t>
            </w:r>
          </w:p>
        </w:tc>
        <w:tc>
          <w:tcPr>
            <w:tcW w:type="dxa" w:w="1234"/>
          </w:tcPr>
          <w:p>
            <w:r>
              <w:rPr>
                <w:rFonts w:ascii="Calibri" w:hAnsi="Calibri"/>
                <w:sz w:val="22"/>
              </w:rPr>
              <w:t>Award (A)</w:t>
            </w:r>
          </w:p>
        </w:tc>
        <w:tc>
          <w:tcPr>
            <w:tcW w:type="dxa" w:w="1234"/>
          </w:tcPr>
          <w:p>
            <w:r>
              <w:rPr>
                <w:rFonts w:ascii="Calibri" w:hAnsi="Calibri"/>
                <w:sz w:val="22"/>
              </w:rPr>
              <w:t>1,711</w:t>
            </w:r>
          </w:p>
        </w:tc>
        <w:tc>
          <w:tcPr>
            <w:tcW w:type="dxa" w:w="1234"/>
          </w:tcPr>
          <w:p>
            <w:r>
              <w:rPr>
                <w:rFonts w:ascii="Calibri" w:hAnsi="Calibri"/>
                <w:sz w:val="22"/>
              </w:rPr>
              <w:t>May 14, 2026</w:t>
            </w:r>
          </w:p>
        </w:tc>
        <w:tc>
          <w:tcPr>
            <w:tcW w:type="dxa" w:w="1234"/>
          </w:tcPr>
          <w:p>
            <w:r>
              <w:rPr>
                <w:rFonts w:ascii="Calibri" w:hAnsi="Calibri"/>
                <w:sz w:val="22"/>
              </w:rPr>
              <w:t>May 15, 2026</w:t>
            </w:r>
          </w:p>
        </w:tc>
        <w:tc>
          <w:tcPr>
            <w:tcW w:type="dxa" w:w="1234"/>
          </w:tcPr>
          <w:p>
            <w:r>
              <w:rPr>
                <w:rFonts w:ascii="Calibri" w:hAnsi="Calibri"/>
                <w:sz w:val="22"/>
              </w:rPr>
              <w:t>Annual director stock award — compensation-driven, no signal</w:t>
            </w:r>
          </w:p>
        </w:tc>
      </w:tr>
    </w:tbl>
    <w:p>
      <w:r>
        <w:rPr>
          <w:rFonts w:ascii="Calibri" w:hAnsi="Calibri"/>
          <w:i/>
          <w:color w:val="525866"/>
          <w:sz w:val="22"/>
        </w:rPr>
        <w:t xml:space="preserve">Note: </w:t>
      </w:r>
      <w:r>
        <w:rPr>
          <w:rFonts w:ascii="Calibri" w:hAnsi="Calibri"/>
          <w:i/>
          <w:color w:val="525866"/>
          <w:sz w:val="22"/>
        </w:rPr>
        <w:t>No C-suite open-market purchases or discretionary sales were recorded in the post-Q1 period. The absence of insider selling ahead of earnings is a mild positive. The McShane sale is routine (option exercise + sell-to-cover). The Peribere open-market buy is the only discretionary transaction and is a modest positive signal.</w:t>
      </w:r>
    </w:p>
    <w:sectPr w:rsidR="00FC693F" w:rsidRPr="0006063C" w:rsidSect="00034616">
      <w:headerReference w:type="default" r:id="rId10"/>
      <w:footerReference w:type="default" r:id="rId11"/>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tabs>
        <w:tab w:pos="8640" w:val="right"/>
      </w:tabs>
      <w:spacing w:before="0" w:after="0" w:line="240" w:lineRule="auto"/>
      <w:jc w:val="left"/>
    </w:pPr>
    <w:r>
      <w:rPr>
        <w:rFonts w:ascii="Calibri" w:hAnsi="Calibri"/>
        <w:i/>
        <w:color w:val="525866"/>
        <w:sz w:val="20"/>
      </w:rPr>
      <w:t>We do the work, you make the call</w:t>
    </w:r>
    <w:r>
      <w:tab/>
    </w:r>
    <w:r>
      <w:rPr>
        <w:rFonts w:ascii="Calibri" w:hAnsi="Calibri"/>
        <w:i/>
        <w:color w:val="FB9120"/>
        <w:sz w:val="20"/>
      </w:rPr>
      <w:t>app.implied.com/trial</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tabs>
        <w:tab w:pos="8640" w:val="right"/>
      </w:tabs>
      <w:spacing w:before="0" w:after="0" w:line="240" w:lineRule="auto"/>
      <w:jc w:val="left"/>
    </w:pPr>
    <w:r>
      <w:drawing>
        <wp:inline xmlns:a="http://schemas.openxmlformats.org/drawingml/2006/main" xmlns:pic="http://schemas.openxmlformats.org/drawingml/2006/picture">
          <wp:extent cx="5486400" cy="274320"/>
          <wp:docPr id="1" name="Picture 1"/>
          <wp:cNvGraphicFramePr>
            <a:graphicFrameLocks noChangeAspect="1"/>
          </wp:cNvGraphicFramePr>
          <a:graphic>
            <a:graphicData uri="http://schemas.openxmlformats.org/drawingml/2006/picture">
              <pic:pic>
                <pic:nvPicPr>
                  <pic:cNvPr id="0" name="ImpliedPromotionalHeader.png"/>
                  <pic:cNvPicPr/>
                </pic:nvPicPr>
                <pic:blipFill>
                  <a:blip r:embed="rId1"/>
                  <a:stretch>
                    <a:fillRect/>
                  </a:stretch>
                </pic:blipFill>
                <pic:spPr>
                  <a:xfrm>
                    <a:off x="0" y="0"/>
                    <a:ext cx="5486400" cy="274320"/>
                  </a:xfrm>
                  <a:prstGeom prst="rect"/>
                </pic:spPr>
              </pic:pic>
            </a:graphicData>
          </a:graphic>
        </wp:inline>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rPr>
      <w:rFonts w:ascii="Calibri" w:hAnsi="Calibri"/>
      <w:sz w:val="22"/>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eader" Target="header1.xml"/><Relationship Id="rId11"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