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Xylem Inc. (XYL)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Xylem Inc.</w:t>
            </w:r>
          </w:p>
        </w:tc>
      </w:tr>
      <w:tr>
        <w:tc>
          <w:tcPr>
            <w:tcW w:type="dxa" w:w="4320"/>
          </w:tcPr>
          <w:p>
            <w:r>
              <w:rPr>
                <w:rFonts w:ascii="Calibri" w:hAnsi="Calibri"/>
                <w:b/>
                <w:sz w:val="22"/>
              </w:rPr>
              <w:t>Ticker</w:t>
            </w:r>
          </w:p>
        </w:tc>
        <w:tc>
          <w:tcPr>
            <w:tcW w:type="dxa" w:w="4320"/>
          </w:tcPr>
          <w:p>
            <w:r>
              <w:rPr>
                <w:rFonts w:ascii="Calibri" w:hAnsi="Calibri"/>
                <w:sz w:val="22"/>
              </w:rPr>
              <w:t>XYL</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Date</w:t>
            </w:r>
          </w:p>
        </w:tc>
        <w:tc>
          <w:tcPr>
            <w:tcW w:type="dxa" w:w="4320"/>
          </w:tcPr>
          <w:p>
            <w:r>
              <w:rPr>
                <w:rFonts w:ascii="Calibri" w:hAnsi="Calibri"/>
                <w:sz w:val="22"/>
              </w:rPr>
              <w:t>July 28, 2026 — 9:00 AM ET</w:t>
            </w:r>
          </w:p>
        </w:tc>
      </w:tr>
      <w:tr>
        <w:tc>
          <w:tcPr>
            <w:tcW w:type="dxa" w:w="4320"/>
          </w:tcPr>
          <w:p>
            <w:r>
              <w:rPr>
                <w:rFonts w:ascii="Calibri" w:hAnsi="Calibri"/>
                <w:b/>
                <w:sz w:val="22"/>
              </w:rPr>
              <w:t>Prepared</w:t>
            </w:r>
          </w:p>
        </w:tc>
        <w:tc>
          <w:tcPr>
            <w:tcW w:type="dxa" w:w="4320"/>
          </w:tcPr>
          <w:p>
            <w:r>
              <w:rPr>
                <w:rFonts w:ascii="Calibri" w:hAnsi="Calibri"/>
                <w:sz w:val="22"/>
              </w:rPr>
              <w:t>July 27, 2026</w:t>
            </w:r>
          </w:p>
        </w:tc>
      </w:tr>
      <w:tr>
        <w:tc>
          <w:tcPr>
            <w:tcW w:type="dxa" w:w="4320"/>
          </w:tcPr>
          <w:p>
            <w:r>
              <w:rPr>
                <w:rFonts w:ascii="Calibri" w:hAnsi="Calibri"/>
                <w:b/>
                <w:sz w:val="22"/>
              </w:rPr>
              <w:t>Sector ETF Benchmark</w:t>
            </w:r>
          </w:p>
        </w:tc>
        <w:tc>
          <w:tcPr>
            <w:tcW w:type="dxa" w:w="4320"/>
          </w:tcPr>
          <w:p>
            <w:r>
              <w:rPr>
                <w:rFonts w:ascii="Calibri" w:hAnsi="Calibri"/>
                <w:sz w:val="22"/>
              </w:rPr>
              <w:t>PHO (Invesco Water Resources ETF)</w:t>
            </w:r>
          </w:p>
        </w:tc>
      </w:tr>
    </w:tbl>
    <w:p>
      <w:r>
        <w:br w:type="page"/>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is modestly constructive — consensus sits near the low end of management’s Q2 guidance range, the 80/20 transformation is delivering ahead of schedule, and the biggest swing factor is whether MCS orders momentum (guided double-digit water growth for the balance of 2026) shows up convincingly in the print.</w:t>
      </w:r>
    </w:p>
    <w:p>
      <w:r>
        <w:rPr>
          <w:rFonts w:ascii="Calibri" w:hAnsi="Calibri"/>
          <w:color w:val="525866"/>
          <w:sz w:val="22"/>
        </w:rPr>
        <w:t xml:space="preserve">The bar heading into Q2 2026 is achievable but not low: consensus revenue of ~$2.34B and operating EPS of ~$1.33 sit within management’s guided range of $1.31–$1.36, leaving limited room for a large beat but also limited downside if execution holds. </w:t>
      </w:r>
      <w:r>
        <w:rPr>
          <w:rFonts w:ascii="Calibri" w:hAnsi="Calibri"/>
          <w:b/>
          <w:color w:val="525866"/>
          <w:sz w:val="22"/>
        </w:rPr>
        <w:t>Management’s tone on the Q1 call was deliberately measured</w:t>
      </w:r>
      <w:r>
        <w:rPr>
          <w:rFonts w:ascii="Calibri" w:hAnsi="Calibri"/>
          <w:color w:val="525866"/>
          <w:sz w:val="22"/>
        </w:rPr>
        <w:t xml:space="preserve"> — the EPS range was held unchanged despite share repurchase tailwinds, framed as “prudent” given macro uncertainty rather than any deterioration in the underlying outlook, which itself is a mild positive signal. Estimate revisions have drifted modestly lower since the Q1 print (Q2 revenue consensus slipped ~$3M, EPS ~$0.003), suggesting the Street has not chased guidance higher and the bar has not been inflated. </w:t>
      </w:r>
      <w:r>
        <w:rPr>
          <w:rFonts w:ascii="Calibri" w:hAnsi="Calibri"/>
          <w:b/>
          <w:color w:val="525866"/>
          <w:sz w:val="22"/>
        </w:rPr>
        <w:t>The stock is essentially flat since the April 28 earnings date</w:t>
      </w:r>
      <w:r>
        <w:rPr>
          <w:rFonts w:ascii="Calibri" w:hAnsi="Calibri"/>
          <w:color w:val="525866"/>
          <w:sz w:val="22"/>
        </w:rPr>
        <w:t xml:space="preserve"> (XYL ~$120 vs. $118 at last print), underperforming PHO and the S&amp;P 500 on a relative basis, meaning the stock has not priced in a beat — a constructive setup. The key wildcard is </w:t>
      </w:r>
      <w:r>
        <w:rPr>
          <w:rFonts w:ascii="Calibri" w:hAnsi="Calibri"/>
          <w:b/>
          <w:color w:val="525866"/>
          <w:sz w:val="22"/>
        </w:rPr>
        <w:t>MCS orders</w:t>
      </w:r>
      <w:r>
        <w:rPr>
          <w:rFonts w:ascii="Calibri" w:hAnsi="Calibri"/>
          <w:color w:val="525866"/>
          <w:sz w:val="22"/>
        </w:rPr>
        <w:t>: management guided double-digit water orders growth for the balance of 2026 and the international metering divestiture was expected to close at end of Q2; any delay or softness in MCS order momentum would be the most likely negative surprise, while confirmation of the divestiture close and strong MCS orders would be the clearest upside catalyst.</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sits comfortably within management’s guided ranges on all key metrics, making this a “confirm the story” quarter rather than a high-stakes beat-or-miss event. </w:t>
      </w:r>
      <w:r>
        <w:rPr>
          <w:rFonts w:ascii="Calibri" w:hAnsi="Calibri"/>
          <w:b/>
          <w:color w:val="525866"/>
          <w:sz w:val="22"/>
        </w:rPr>
        <w:t>EBITDA margin</w:t>
      </w:r>
      <w:r>
        <w:rPr>
          <w:rFonts w:ascii="Calibri" w:hAnsi="Calibri"/>
          <w:color w:val="525866"/>
          <w:sz w:val="22"/>
        </w:rPr>
        <w:t xml:space="preserve"> is the bigger swing factor — the guided 22%–22.5% range implies meaningful sequential improvement from Q1’s 20.6%, and any shortfall there would raise questions about the H2 margin ramp thesis.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Q2 2026 Guidance (Mgmt)</w:t>
            </w:r>
          </w:p>
        </w:tc>
        <w:tc>
          <w:tcPr>
            <w:tcW w:type="dxa" w:w="1234"/>
            <w:shd w:val="clear" w:color="auto" w:fill="3B4259"/>
          </w:tcPr>
          <w:p>
            <w:r>
              <w:rPr>
                <w:rFonts w:ascii="Calibri" w:hAnsi="Calibri"/>
                <w:b/>
                <w:color w:val="FFFFFF"/>
                <w:sz w:val="22"/>
              </w:rPr>
              <w:t>Consensus vs. Guidance Midpoint</w:t>
            </w:r>
          </w:p>
        </w:tc>
      </w:tr>
      <w:tr>
        <w:tc>
          <w:tcPr>
            <w:tcW w:type="dxa" w:w="1234"/>
          </w:tcPr>
          <w:p>
            <w:r>
              <w:rPr>
                <w:rFonts w:ascii="Calibri" w:hAnsi="Calibri"/>
                <w:sz w:val="22"/>
              </w:rPr>
              <w:t>Revenue ($B)</w:t>
            </w:r>
          </w:p>
        </w:tc>
        <w:tc>
          <w:tcPr>
            <w:tcW w:type="dxa" w:w="1234"/>
          </w:tcPr>
          <w:p>
            <w:r>
              <w:rPr>
                <w:rFonts w:ascii="Calibri" w:hAnsi="Calibri"/>
                <w:sz w:val="22"/>
              </w:rPr>
              <w:t>$2.125B</w:t>
            </w:r>
          </w:p>
        </w:tc>
        <w:tc>
          <w:tcPr>
            <w:tcW w:type="dxa" w:w="1234"/>
          </w:tcPr>
          <w:p>
            <w:r>
              <w:rPr>
                <w:rFonts w:ascii="Calibri" w:hAnsi="Calibri"/>
                <w:sz w:val="22"/>
              </w:rPr>
              <w:t>$2.301B</w:t>
            </w:r>
          </w:p>
        </w:tc>
        <w:tc>
          <w:tcPr>
            <w:tcW w:type="dxa" w:w="1234"/>
          </w:tcPr>
          <w:p>
            <w:r>
              <w:rPr>
                <w:rFonts w:ascii="Calibri" w:hAnsi="Calibri"/>
                <w:sz w:val="22"/>
              </w:rPr>
              <w:t>$2.339B</w:t>
            </w:r>
          </w:p>
        </w:tc>
        <w:tc>
          <w:tcPr>
            <w:tcW w:type="dxa" w:w="1234"/>
          </w:tcPr>
          <w:p>
            <w:r>
              <w:rPr>
                <w:rFonts w:ascii="Calibri" w:hAnsi="Calibri"/>
                <w:sz w:val="22"/>
              </w:rPr>
              <w:t>+1.7% YoY</w:t>
            </w:r>
          </w:p>
        </w:tc>
        <w:tc>
          <w:tcPr>
            <w:tcW w:type="dxa" w:w="1234"/>
          </w:tcPr>
          <w:p>
            <w:r>
              <w:rPr>
                <w:rFonts w:ascii="Calibri" w:hAnsi="Calibri"/>
                <w:sz w:val="22"/>
              </w:rPr>
              <w:t>2%–3% reported growth (~$2.34–$2.37B implied)</w:t>
            </w:r>
          </w:p>
        </w:tc>
        <w:tc>
          <w:tcPr>
            <w:tcW w:type="dxa" w:w="1234"/>
          </w:tcPr>
          <w:p>
            <w:r>
              <w:rPr>
                <w:rFonts w:ascii="Calibri" w:hAnsi="Calibri"/>
                <w:sz w:val="22"/>
              </w:rPr>
              <w:t>~−1% vs. midpoint</w:t>
            </w:r>
          </w:p>
        </w:tc>
      </w:tr>
      <w:tr>
        <w:tc>
          <w:tcPr>
            <w:tcW w:type="dxa" w:w="1234"/>
          </w:tcPr>
          <w:p>
            <w:r>
              <w:rPr>
                <w:rFonts w:ascii="Calibri" w:hAnsi="Calibri"/>
                <w:sz w:val="22"/>
              </w:rPr>
              <w:t>Organic Revenue Growth (%)</w:t>
            </w:r>
          </w:p>
        </w:tc>
        <w:tc>
          <w:tcPr>
            <w:tcW w:type="dxa" w:w="1234"/>
          </w:tcPr>
          <w:p>
            <w:r>
              <w:rPr>
                <w:rFonts w:ascii="Calibri" w:hAnsi="Calibri"/>
                <w:sz w:val="22"/>
              </w:rPr>
              <w:t>−0.4%</w:t>
            </w:r>
          </w:p>
        </w:tc>
        <w:tc>
          <w:tcPr>
            <w:tcW w:type="dxa" w:w="1234"/>
          </w:tcPr>
          <w:p>
            <w:r>
              <w:rPr>
                <w:rFonts w:ascii="Calibri" w:hAnsi="Calibri"/>
                <w:sz w:val="22"/>
              </w:rPr>
              <w:t>+5.5%</w:t>
            </w:r>
          </w:p>
        </w:tc>
        <w:tc>
          <w:tcPr>
            <w:tcW w:type="dxa" w:w="1234"/>
          </w:tcPr>
          <w:p>
            <w:r>
              <w:rPr>
                <w:rFonts w:ascii="Calibri" w:hAnsi="Calibri"/>
                <w:sz w:val="22"/>
              </w:rPr>
              <w:t>+0.9%</w:t>
            </w:r>
          </w:p>
        </w:tc>
        <w:tc>
          <w:tcPr>
            <w:tcW w:type="dxa" w:w="1234"/>
          </w:tcPr>
          <w:p>
            <w:r>
              <w:rPr>
                <w:rFonts w:ascii="Calibri" w:hAnsi="Calibri"/>
                <w:sz w:val="22"/>
              </w:rPr>
              <w:t>n/m (vs. tough comp)</w:t>
            </w:r>
          </w:p>
        </w:tc>
        <w:tc>
          <w:tcPr>
            <w:tcW w:type="dxa" w:w="1234"/>
          </w:tcPr>
          <w:p>
            <w:r>
              <w:rPr>
                <w:rFonts w:ascii="Calibri" w:hAnsi="Calibri"/>
                <w:sz w:val="22"/>
              </w:rPr>
              <w:t>~1% organic</w:t>
            </w:r>
          </w:p>
        </w:tc>
        <w:tc>
          <w:tcPr>
            <w:tcW w:type="dxa" w:w="1234"/>
          </w:tcPr>
          <w:p>
            <w:r>
              <w:rPr>
                <w:rFonts w:ascii="Calibri" w:hAnsi="Calibri"/>
                <w:sz w:val="22"/>
              </w:rPr>
              <w:t>~In line</w:t>
            </w:r>
          </w:p>
        </w:tc>
      </w:tr>
      <w:tr>
        <w:tc>
          <w:tcPr>
            <w:tcW w:type="dxa" w:w="1234"/>
          </w:tcPr>
          <w:p>
            <w:r>
              <w:rPr>
                <w:rFonts w:ascii="Calibri" w:hAnsi="Calibri"/>
                <w:sz w:val="22"/>
              </w:rPr>
              <w:t>Adj. EBITDA Margin (%)</w:t>
            </w:r>
          </w:p>
        </w:tc>
        <w:tc>
          <w:tcPr>
            <w:tcW w:type="dxa" w:w="1234"/>
          </w:tcPr>
          <w:p>
            <w:r>
              <w:rPr>
                <w:rFonts w:ascii="Calibri" w:hAnsi="Calibri"/>
                <w:sz w:val="22"/>
              </w:rPr>
              <w:t>20.6%</w:t>
            </w:r>
          </w:p>
        </w:tc>
        <w:tc>
          <w:tcPr>
            <w:tcW w:type="dxa" w:w="1234"/>
          </w:tcPr>
          <w:p>
            <w:r>
              <w:rPr>
                <w:rFonts w:ascii="Calibri" w:hAnsi="Calibri"/>
                <w:sz w:val="22"/>
              </w:rPr>
              <w:t>21.8%</w:t>
            </w:r>
          </w:p>
        </w:tc>
        <w:tc>
          <w:tcPr>
            <w:tcW w:type="dxa" w:w="1234"/>
          </w:tcPr>
          <w:p>
            <w:r>
              <w:rPr>
                <w:rFonts w:ascii="Calibri" w:hAnsi="Calibri"/>
                <w:sz w:val="22"/>
              </w:rPr>
              <w:t>22.1%</w:t>
            </w:r>
          </w:p>
        </w:tc>
        <w:tc>
          <w:tcPr>
            <w:tcW w:type="dxa" w:w="1234"/>
          </w:tcPr>
          <w:p>
            <w:r>
              <w:rPr>
                <w:rFonts w:ascii="Calibri" w:hAnsi="Calibri"/>
                <w:sz w:val="22"/>
              </w:rPr>
              <w:t>+30 bps YoY</w:t>
            </w:r>
          </w:p>
        </w:tc>
        <w:tc>
          <w:tcPr>
            <w:tcW w:type="dxa" w:w="1234"/>
          </w:tcPr>
          <w:p>
            <w:r>
              <w:rPr>
                <w:rFonts w:ascii="Calibri" w:hAnsi="Calibri"/>
                <w:sz w:val="22"/>
              </w:rPr>
              <w:t>22.0%–22.5%</w:t>
            </w:r>
          </w:p>
        </w:tc>
        <w:tc>
          <w:tcPr>
            <w:tcW w:type="dxa" w:w="1234"/>
          </w:tcPr>
          <w:p>
            <w:r>
              <w:rPr>
                <w:rFonts w:ascii="Calibri" w:hAnsi="Calibri"/>
                <w:sz w:val="22"/>
              </w:rPr>
              <w:t>~−15 bps vs. midpoint</w:t>
            </w:r>
          </w:p>
        </w:tc>
      </w:tr>
      <w:tr>
        <w:tc>
          <w:tcPr>
            <w:tcW w:type="dxa" w:w="1234"/>
          </w:tcPr>
          <w:p>
            <w:r>
              <w:rPr>
                <w:rFonts w:ascii="Calibri" w:hAnsi="Calibri"/>
                <w:sz w:val="22"/>
              </w:rPr>
              <w:t>Adj. EPS — Diluted ($)</w:t>
            </w:r>
          </w:p>
        </w:tc>
        <w:tc>
          <w:tcPr>
            <w:tcW w:type="dxa" w:w="1234"/>
          </w:tcPr>
          <w:p>
            <w:r>
              <w:rPr>
                <w:rFonts w:ascii="Calibri" w:hAnsi="Calibri"/>
                <w:sz w:val="22"/>
              </w:rPr>
              <w:t>$1.12</w:t>
            </w:r>
          </w:p>
        </w:tc>
        <w:tc>
          <w:tcPr>
            <w:tcW w:type="dxa" w:w="1234"/>
          </w:tcPr>
          <w:p>
            <w:r>
              <w:rPr>
                <w:rFonts w:ascii="Calibri" w:hAnsi="Calibri"/>
                <w:sz w:val="22"/>
              </w:rPr>
              <w:t>$1.26</w:t>
            </w:r>
          </w:p>
        </w:tc>
        <w:tc>
          <w:tcPr>
            <w:tcW w:type="dxa" w:w="1234"/>
          </w:tcPr>
          <w:p>
            <w:r>
              <w:rPr>
                <w:rFonts w:ascii="Calibri" w:hAnsi="Calibri"/>
                <w:sz w:val="22"/>
              </w:rPr>
              <w:t>$1.33</w:t>
            </w:r>
          </w:p>
        </w:tc>
        <w:tc>
          <w:tcPr>
            <w:tcW w:type="dxa" w:w="1234"/>
          </w:tcPr>
          <w:p>
            <w:r>
              <w:rPr>
                <w:rFonts w:ascii="Calibri" w:hAnsi="Calibri"/>
                <w:sz w:val="22"/>
              </w:rPr>
              <w:t>+5.6% YoY</w:t>
            </w:r>
          </w:p>
        </w:tc>
        <w:tc>
          <w:tcPr>
            <w:tcW w:type="dxa" w:w="1234"/>
          </w:tcPr>
          <w:p>
            <w:r>
              <w:rPr>
                <w:rFonts w:ascii="Calibri" w:hAnsi="Calibri"/>
                <w:sz w:val="22"/>
              </w:rPr>
              <w:t>$1.31–$1.36</w:t>
            </w:r>
          </w:p>
        </w:tc>
        <w:tc>
          <w:tcPr>
            <w:tcW w:type="dxa" w:w="1234"/>
          </w:tcPr>
          <w:p>
            <w:r>
              <w:rPr>
                <w:rFonts w:ascii="Calibri" w:hAnsi="Calibri"/>
                <w:sz w:val="22"/>
              </w:rPr>
              <w:t>~−0.4% vs. midpoint ($1.335)</w:t>
            </w:r>
          </w:p>
        </w:tc>
      </w:tr>
      <w:tr>
        <w:tc>
          <w:tcPr>
            <w:tcW w:type="dxa" w:w="1234"/>
          </w:tcPr>
          <w:p>
            <w:r>
              <w:rPr>
                <w:rFonts w:ascii="Calibri" w:hAnsi="Calibri"/>
                <w:sz w:val="22"/>
              </w:rPr>
              <w:t>Orders ($B)</w:t>
            </w:r>
          </w:p>
        </w:tc>
        <w:tc>
          <w:tcPr>
            <w:tcW w:type="dxa" w:w="1234"/>
          </w:tcPr>
          <w:p>
            <w:r>
              <w:rPr>
                <w:rFonts w:ascii="Calibri" w:hAnsi="Calibri"/>
                <w:sz w:val="22"/>
              </w:rPr>
              <w:t>$2.228B</w:t>
            </w:r>
          </w:p>
        </w:tc>
        <w:tc>
          <w:tcPr>
            <w:tcW w:type="dxa" w:w="1234"/>
          </w:tcPr>
          <w:p>
            <w:r>
              <w:rPr>
                <w:rFonts w:ascii="Calibri" w:hAnsi="Calibri"/>
                <w:sz w:val="22"/>
              </w:rPr>
              <w:t>$2.174B</w:t>
            </w:r>
          </w:p>
        </w:tc>
        <w:tc>
          <w:tcPr>
            <w:tcW w:type="dxa" w:w="1234"/>
          </w:tcPr>
          <w:p>
            <w:r>
              <w:rPr>
                <w:rFonts w:ascii="Calibri" w:hAnsi="Calibri"/>
                <w:sz w:val="22"/>
              </w:rPr>
              <w:t>$2.743B</w:t>
            </w:r>
          </w:p>
        </w:tc>
        <w:tc>
          <w:tcPr>
            <w:tcW w:type="dxa" w:w="1234"/>
          </w:tcPr>
          <w:p>
            <w:r>
              <w:rPr>
                <w:rFonts w:ascii="Calibri" w:hAnsi="Calibri"/>
                <w:sz w:val="22"/>
              </w:rPr>
              <w:t>+26.2% YoY</w:t>
            </w:r>
          </w:p>
        </w:tc>
        <w:tc>
          <w:tcPr>
            <w:tcW w:type="dxa" w:w="1234"/>
          </w:tcPr>
          <w:p>
            <w:r>
              <w:rPr>
                <w:rFonts w:ascii="Calibri" w:hAnsi="Calibri"/>
                <w:sz w:val="22"/>
              </w:rPr>
              <w:t>Double-digit water orders growth guided</w:t>
            </w:r>
          </w:p>
        </w:tc>
        <w:tc>
          <w:tcPr>
            <w:tcW w:type="dxa" w:w="1234"/>
          </w:tcPr>
          <w:p>
            <w:r>
              <w:rPr>
                <w:rFonts w:ascii="Calibri" w:hAnsi="Calibri"/>
                <w:sz w:val="22"/>
              </w:rPr>
              <w:t>Consensus well above prior year</w:t>
            </w:r>
          </w:p>
        </w:tc>
      </w:tr>
      <w:tr>
        <w:tc>
          <w:tcPr>
            <w:tcW w:type="dxa" w:w="1234"/>
          </w:tcPr>
          <w:p>
            <w:r>
              <w:rPr>
                <w:rFonts w:ascii="Calibri" w:hAnsi="Calibri"/>
                <w:sz w:val="22"/>
              </w:rPr>
              <w:t>Book-to-Bill (x)</w:t>
            </w:r>
          </w:p>
        </w:tc>
        <w:tc>
          <w:tcPr>
            <w:tcW w:type="dxa" w:w="1234"/>
          </w:tcPr>
          <w:p>
            <w:r>
              <w:rPr>
                <w:rFonts w:ascii="Calibri" w:hAnsi="Calibri"/>
                <w:sz w:val="22"/>
              </w:rPr>
              <w:t>&gt;1.0x (Q1 2026)</w:t>
            </w:r>
          </w:p>
        </w:tc>
        <w:tc>
          <w:tcPr>
            <w:tcW w:type="dxa" w:w="1234"/>
          </w:tcPr>
          <w:p>
            <w:r>
              <w:rPr>
                <w:rFonts w:ascii="Calibri" w:hAnsi="Calibri"/>
                <w:sz w:val="22"/>
              </w:rPr>
              <w:t>&gt;1.0x (Q2 2025)</w:t>
            </w:r>
          </w:p>
        </w:tc>
        <w:tc>
          <w:tcPr>
            <w:tcW w:type="dxa" w:w="1234"/>
          </w:tcPr>
          <w:p>
            <w:r>
              <w:rPr>
                <w:rFonts w:ascii="Calibri" w:hAnsi="Calibri"/>
                <w:sz w:val="22"/>
              </w:rPr>
              <w:t>N/A — not in VA</w:t>
            </w:r>
          </w:p>
        </w:tc>
        <w:tc>
          <w:tcPr>
            <w:tcW w:type="dxa" w:w="1234"/>
          </w:tcPr>
          <w:p>
            <w:r>
              <w:rPr>
                <w:rFonts w:ascii="Calibri" w:hAnsi="Calibri"/>
                <w:sz w:val="22"/>
              </w:rPr>
              <w:t>N/A</w:t>
            </w:r>
          </w:p>
        </w:tc>
        <w:tc>
          <w:tcPr>
            <w:tcW w:type="dxa" w:w="1234"/>
          </w:tcPr>
          <w:p>
            <w:r>
              <w:rPr>
                <w:rFonts w:ascii="Calibri" w:hAnsi="Calibri"/>
                <w:sz w:val="22"/>
              </w:rPr>
              <w:t>Above 1.0x expected</w:t>
            </w:r>
          </w:p>
        </w:tc>
        <w:tc>
          <w:tcPr>
            <w:tcW w:type="dxa" w:w="1234"/>
          </w:tcPr>
          <w:p>
            <w:r>
              <w:rPr>
                <w:rFonts w:ascii="Calibri" w:hAnsi="Calibri"/>
                <w:sz w:val="22"/>
              </w:rPr>
              <w:t>N/A</w:t>
            </w:r>
          </w:p>
        </w:tc>
      </w:tr>
      <w:tr>
        <w:tc>
          <w:tcPr>
            <w:tcW w:type="dxa" w:w="1234"/>
          </w:tcPr>
          <w:p>
            <w:r>
              <w:rPr>
                <w:rFonts w:ascii="Calibri" w:hAnsi="Calibri"/>
                <w:sz w:val="22"/>
              </w:rPr>
              <w:t>Free Cash Flow ($M)</w:t>
            </w:r>
          </w:p>
        </w:tc>
        <w:tc>
          <w:tcPr>
            <w:tcW w:type="dxa" w:w="1234"/>
          </w:tcPr>
          <w:p>
            <w:r>
              <w:rPr>
                <w:rFonts w:ascii="Calibri" w:hAnsi="Calibri"/>
                <w:sz w:val="22"/>
              </w:rPr>
              <w:t>$18M</w:t>
            </w:r>
          </w:p>
        </w:tc>
        <w:tc>
          <w:tcPr>
            <w:tcW w:type="dxa" w:w="1234"/>
          </w:tcPr>
          <w:p>
            <w:r>
              <w:rPr>
                <w:rFonts w:ascii="Calibri" w:hAnsi="Calibri"/>
                <w:sz w:val="22"/>
              </w:rPr>
              <w:t>$207M</w:t>
            </w:r>
          </w:p>
        </w:tc>
        <w:tc>
          <w:tcPr>
            <w:tcW w:type="dxa" w:w="1234"/>
          </w:tcPr>
          <w:p>
            <w:r>
              <w:rPr>
                <w:rFonts w:ascii="Calibri" w:hAnsi="Calibri"/>
                <w:sz w:val="22"/>
              </w:rPr>
              <w:t>$255M</w:t>
            </w:r>
          </w:p>
        </w:tc>
        <w:tc>
          <w:tcPr>
            <w:tcW w:type="dxa" w:w="1234"/>
          </w:tcPr>
          <w:p>
            <w:r>
              <w:rPr>
                <w:rFonts w:ascii="Calibri" w:hAnsi="Calibri"/>
                <w:sz w:val="22"/>
              </w:rPr>
              <w:t>+23.2% YoY</w:t>
            </w:r>
          </w:p>
        </w:tc>
        <w:tc>
          <w:tcPr>
            <w:tcW w:type="dxa" w:w="1234"/>
          </w:tcPr>
          <w:p>
            <w:r>
              <w:rPr>
                <w:rFonts w:ascii="Calibri" w:hAnsi="Calibri"/>
                <w:sz w:val="22"/>
              </w:rPr>
              <w:t>FY FCF margin ~10.2–11.0%</w:t>
            </w:r>
          </w:p>
        </w:tc>
        <w:tc>
          <w:tcPr>
            <w:tcW w:type="dxa" w:w="1234"/>
          </w:tcPr>
          <w:p>
            <w:r>
              <w:rPr>
                <w:rFonts w:ascii="Calibri" w:hAnsi="Calibri"/>
                <w:sz w:val="22"/>
              </w:rPr>
              <w:t>N/A — quarterly guidance not given</w:t>
            </w:r>
          </w:p>
        </w:tc>
      </w:tr>
    </w:tbl>
    <w:p>
      <w:r>
        <w:rPr>
          <w:rFonts w:ascii="Calibri" w:hAnsi="Calibri"/>
          <w:i/>
          <w:color w:val="525866"/>
          <w:sz w:val="22"/>
        </w:rPr>
        <w:t>Sources: Visible Alpha Consensus and Actuals Data</w:t>
      </w:r>
    </w:p>
    <w:p>
      <w:pPr>
        <w:pStyle w:val="Heading3"/>
      </w:pPr>
      <w:r>
        <w:rPr>
          <w:rFonts w:ascii="Calibri" w:hAnsi="Calibri"/>
          <w:b/>
          <w:color w:val="3B4259"/>
          <w:sz w:val="24"/>
        </w:rPr>
        <w:t>Table 2 — Beat/Miss History (Last 8 Quarters)</w:t>
      </w:r>
    </w:p>
    <w:p>
      <w:pPr>
        <w:pStyle w:val="Heading4"/>
      </w:pPr>
      <w:r>
        <w:rPr>
          <w:rFonts w:ascii="Calibri" w:hAnsi="Calibri"/>
          <w:b/>
          <w:color w:val="3B4259"/>
          <w:sz w:val="22"/>
        </w:rPr>
        <w:t>Revenue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($B)</w:t>
            </w:r>
          </w:p>
        </w:tc>
        <w:tc>
          <w:tcPr>
            <w:tcW w:type="dxa" w:w="1728"/>
            <w:shd w:val="clear" w:color="auto" w:fill="3B4259"/>
          </w:tcPr>
          <w:p>
            <w:r>
              <w:rPr>
                <w:rFonts w:ascii="Calibri" w:hAnsi="Calibri"/>
                <w:b/>
                <w:color w:val="FFFFFF"/>
                <w:sz w:val="22"/>
              </w:rPr>
              <w:t>Consensus ($B)</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$2.301B</w:t>
            </w:r>
          </w:p>
        </w:tc>
        <w:tc>
          <w:tcPr>
            <w:tcW w:type="dxa" w:w="1728"/>
          </w:tcPr>
          <w:p>
            <w:r>
              <w:rPr>
                <w:rFonts w:ascii="Calibri" w:hAnsi="Calibri"/>
                <w:sz w:val="22"/>
              </w:rPr>
              <w:t>$2.207B</w:t>
            </w:r>
          </w:p>
        </w:tc>
        <w:tc>
          <w:tcPr>
            <w:tcW w:type="dxa" w:w="1728"/>
          </w:tcPr>
          <w:p>
            <w:r>
              <w:rPr>
                <w:rFonts w:ascii="Calibri" w:hAnsi="Calibri"/>
                <w:b/>
                <w:color w:val="30A46C"/>
                <w:sz w:val="22"/>
              </w:rPr>
              <w:t>+4.3%</w:t>
            </w:r>
          </w:p>
        </w:tc>
        <w:tc>
          <w:tcPr>
            <w:tcW w:type="dxa" w:w="1728"/>
          </w:tcPr>
          <w:p>
            <w:r>
              <w:rPr>
                <w:rFonts w:ascii="Calibri" w:hAnsi="Calibri"/>
                <w:sz w:val="22"/>
              </w:rPr>
              <w:t>Beat</w:t>
            </w:r>
          </w:p>
        </w:tc>
      </w:tr>
      <w:tr>
        <w:tc>
          <w:tcPr>
            <w:tcW w:type="dxa" w:w="1728"/>
          </w:tcPr>
          <w:p>
            <w:r>
              <w:rPr>
                <w:rFonts w:ascii="Calibri" w:hAnsi="Calibri"/>
                <w:sz w:val="22"/>
              </w:rPr>
              <w:t>Q3 2024</w:t>
            </w:r>
          </w:p>
        </w:tc>
        <w:tc>
          <w:tcPr>
            <w:tcW w:type="dxa" w:w="1728"/>
          </w:tcPr>
          <w:p>
            <w:r>
              <w:rPr>
                <w:rFonts w:ascii="Calibri" w:hAnsi="Calibri"/>
                <w:sz w:val="22"/>
              </w:rPr>
              <w:t>$2.104B</w:t>
            </w:r>
          </w:p>
        </w:tc>
        <w:tc>
          <w:tcPr>
            <w:tcW w:type="dxa" w:w="1728"/>
          </w:tcPr>
          <w:p>
            <w:r>
              <w:rPr>
                <w:rFonts w:ascii="Calibri" w:hAnsi="Calibri"/>
                <w:sz w:val="22"/>
              </w:rPr>
              <w:t>$2.168B</w:t>
            </w:r>
          </w:p>
        </w:tc>
        <w:tc>
          <w:tcPr>
            <w:tcW w:type="dxa" w:w="1728"/>
          </w:tcPr>
          <w:p>
            <w:r>
              <w:rPr>
                <w:rFonts w:ascii="Calibri" w:hAnsi="Calibri"/>
                <w:b/>
                <w:color w:val="E5484D"/>
                <w:sz w:val="22"/>
              </w:rPr>
              <w:t>−2.9%</w:t>
            </w:r>
          </w:p>
        </w:tc>
        <w:tc>
          <w:tcPr>
            <w:tcW w:type="dxa" w:w="1728"/>
          </w:tcPr>
          <w:p>
            <w:r>
              <w:rPr>
                <w:rFonts w:ascii="Calibri" w:hAnsi="Calibri"/>
                <w:sz w:val="22"/>
              </w:rPr>
              <w:t>Miss</w:t>
            </w:r>
          </w:p>
        </w:tc>
      </w:tr>
      <w:tr>
        <w:tc>
          <w:tcPr>
            <w:tcW w:type="dxa" w:w="1728"/>
          </w:tcPr>
          <w:p>
            <w:r>
              <w:rPr>
                <w:rFonts w:ascii="Calibri" w:hAnsi="Calibri"/>
                <w:sz w:val="22"/>
              </w:rPr>
              <w:t>Q4 2024</w:t>
            </w:r>
          </w:p>
        </w:tc>
        <w:tc>
          <w:tcPr>
            <w:tcW w:type="dxa" w:w="1728"/>
          </w:tcPr>
          <w:p>
            <w:r>
              <w:rPr>
                <w:rFonts w:ascii="Calibri" w:hAnsi="Calibri"/>
                <w:sz w:val="22"/>
              </w:rPr>
              <w:t>$2.256B</w:t>
            </w:r>
          </w:p>
        </w:tc>
        <w:tc>
          <w:tcPr>
            <w:tcW w:type="dxa" w:w="1728"/>
          </w:tcPr>
          <w:p>
            <w:r>
              <w:rPr>
                <w:rFonts w:ascii="Calibri" w:hAnsi="Calibri"/>
                <w:sz w:val="22"/>
              </w:rPr>
              <w:t>$2.182B</w:t>
            </w:r>
          </w:p>
        </w:tc>
        <w:tc>
          <w:tcPr>
            <w:tcW w:type="dxa" w:w="1728"/>
          </w:tcPr>
          <w:p>
            <w:r>
              <w:rPr>
                <w:rFonts w:ascii="Calibri" w:hAnsi="Calibri"/>
                <w:b/>
                <w:color w:val="30A46C"/>
                <w:sz w:val="22"/>
              </w:rPr>
              <w:t>+3.4%</w:t>
            </w:r>
          </w:p>
        </w:tc>
        <w:tc>
          <w:tcPr>
            <w:tcW w:type="dxa" w:w="1728"/>
          </w:tcPr>
          <w:p>
            <w:r>
              <w:rPr>
                <w:rFonts w:ascii="Calibri" w:hAnsi="Calibri"/>
                <w:sz w:val="22"/>
              </w:rPr>
              <w:t>Beat</w:t>
            </w:r>
          </w:p>
        </w:tc>
      </w:tr>
      <w:tr>
        <w:tc>
          <w:tcPr>
            <w:tcW w:type="dxa" w:w="1728"/>
          </w:tcPr>
          <w:p>
            <w:r>
              <w:rPr>
                <w:rFonts w:ascii="Calibri" w:hAnsi="Calibri"/>
                <w:sz w:val="22"/>
              </w:rPr>
              <w:t>Q1 2025</w:t>
            </w:r>
          </w:p>
        </w:tc>
        <w:tc>
          <w:tcPr>
            <w:tcW w:type="dxa" w:w="1728"/>
          </w:tcPr>
          <w:p>
            <w:r>
              <w:rPr>
                <w:rFonts w:ascii="Calibri" w:hAnsi="Calibri"/>
                <w:sz w:val="22"/>
              </w:rPr>
              <w:t>$2.069B</w:t>
            </w:r>
          </w:p>
        </w:tc>
        <w:tc>
          <w:tcPr>
            <w:tcW w:type="dxa" w:w="1728"/>
          </w:tcPr>
          <w:p>
            <w:r>
              <w:rPr>
                <w:rFonts w:ascii="Calibri" w:hAnsi="Calibri"/>
                <w:sz w:val="22"/>
              </w:rPr>
              <w:t>$2.037B</w:t>
            </w:r>
          </w:p>
        </w:tc>
        <w:tc>
          <w:tcPr>
            <w:tcW w:type="dxa" w:w="1728"/>
          </w:tcPr>
          <w:p>
            <w:r>
              <w:rPr>
                <w:rFonts w:ascii="Calibri" w:hAnsi="Calibri"/>
                <w:b/>
                <w:color w:val="30A46C"/>
                <w:sz w:val="22"/>
              </w:rPr>
              <w:t>+1.6%</w:t>
            </w:r>
          </w:p>
        </w:tc>
        <w:tc>
          <w:tcPr>
            <w:tcW w:type="dxa" w:w="1728"/>
          </w:tcPr>
          <w:p>
            <w:r>
              <w:rPr>
                <w:rFonts w:ascii="Calibri" w:hAnsi="Calibri"/>
                <w:sz w:val="22"/>
              </w:rPr>
              <w:t>Beat</w:t>
            </w:r>
          </w:p>
        </w:tc>
      </w:tr>
      <w:tr>
        <w:tc>
          <w:tcPr>
            <w:tcW w:type="dxa" w:w="1728"/>
          </w:tcPr>
          <w:p>
            <w:r>
              <w:rPr>
                <w:rFonts w:ascii="Calibri" w:hAnsi="Calibri"/>
                <w:sz w:val="22"/>
              </w:rPr>
              <w:t>Q2 2025</w:t>
            </w:r>
          </w:p>
        </w:tc>
        <w:tc>
          <w:tcPr>
            <w:tcW w:type="dxa" w:w="1728"/>
          </w:tcPr>
          <w:p>
            <w:r>
              <w:rPr>
                <w:rFonts w:ascii="Calibri" w:hAnsi="Calibri"/>
                <w:sz w:val="22"/>
              </w:rPr>
              <w:t>$2.301B</w:t>
            </w:r>
          </w:p>
        </w:tc>
        <w:tc>
          <w:tcPr>
            <w:tcW w:type="dxa" w:w="1728"/>
          </w:tcPr>
          <w:p>
            <w:r>
              <w:rPr>
                <w:rFonts w:ascii="Calibri" w:hAnsi="Calibri"/>
                <w:sz w:val="22"/>
              </w:rPr>
              <w:t>$2.207B</w:t>
            </w:r>
          </w:p>
        </w:tc>
        <w:tc>
          <w:tcPr>
            <w:tcW w:type="dxa" w:w="1728"/>
          </w:tcPr>
          <w:p>
            <w:r>
              <w:rPr>
                <w:rFonts w:ascii="Calibri" w:hAnsi="Calibri"/>
                <w:b/>
                <w:color w:val="30A46C"/>
                <w:sz w:val="22"/>
              </w:rPr>
              <w:t>+4.3%</w:t>
            </w:r>
          </w:p>
        </w:tc>
        <w:tc>
          <w:tcPr>
            <w:tcW w:type="dxa" w:w="1728"/>
          </w:tcPr>
          <w:p>
            <w:r>
              <w:rPr>
                <w:rFonts w:ascii="Calibri" w:hAnsi="Calibri"/>
                <w:sz w:val="22"/>
              </w:rPr>
              <w:t>Beat</w:t>
            </w:r>
          </w:p>
        </w:tc>
      </w:tr>
      <w:tr>
        <w:tc>
          <w:tcPr>
            <w:tcW w:type="dxa" w:w="1728"/>
          </w:tcPr>
          <w:p>
            <w:r>
              <w:rPr>
                <w:rFonts w:ascii="Calibri" w:hAnsi="Calibri"/>
                <w:sz w:val="22"/>
              </w:rPr>
              <w:t>Q3 2025</w:t>
            </w:r>
          </w:p>
        </w:tc>
        <w:tc>
          <w:tcPr>
            <w:tcW w:type="dxa" w:w="1728"/>
          </w:tcPr>
          <w:p>
            <w:r>
              <w:rPr>
                <w:rFonts w:ascii="Calibri" w:hAnsi="Calibri"/>
                <w:sz w:val="22"/>
              </w:rPr>
              <w:t>$2.268B</w:t>
            </w:r>
          </w:p>
        </w:tc>
        <w:tc>
          <w:tcPr>
            <w:tcW w:type="dxa" w:w="1728"/>
          </w:tcPr>
          <w:p>
            <w:r>
              <w:rPr>
                <w:rFonts w:ascii="Calibri" w:hAnsi="Calibri"/>
                <w:sz w:val="22"/>
              </w:rPr>
              <w:t>$2.226B</w:t>
            </w:r>
          </w:p>
        </w:tc>
        <w:tc>
          <w:tcPr>
            <w:tcW w:type="dxa" w:w="1728"/>
          </w:tcPr>
          <w:p>
            <w:r>
              <w:rPr>
                <w:rFonts w:ascii="Calibri" w:hAnsi="Calibri"/>
                <w:b/>
                <w:color w:val="30A46C"/>
                <w:sz w:val="22"/>
              </w:rPr>
              <w:t>+1.9%</w:t>
            </w:r>
          </w:p>
        </w:tc>
        <w:tc>
          <w:tcPr>
            <w:tcW w:type="dxa" w:w="1728"/>
          </w:tcPr>
          <w:p>
            <w:r>
              <w:rPr>
                <w:rFonts w:ascii="Calibri" w:hAnsi="Calibri"/>
                <w:sz w:val="22"/>
              </w:rPr>
              <w:t>Beat</w:t>
            </w:r>
          </w:p>
        </w:tc>
      </w:tr>
      <w:tr>
        <w:tc>
          <w:tcPr>
            <w:tcW w:type="dxa" w:w="1728"/>
          </w:tcPr>
          <w:p>
            <w:r>
              <w:rPr>
                <w:rFonts w:ascii="Calibri" w:hAnsi="Calibri"/>
                <w:sz w:val="22"/>
              </w:rPr>
              <w:t>Q4 2025</w:t>
            </w:r>
          </w:p>
        </w:tc>
        <w:tc>
          <w:tcPr>
            <w:tcW w:type="dxa" w:w="1728"/>
          </w:tcPr>
          <w:p>
            <w:r>
              <w:rPr>
                <w:rFonts w:ascii="Calibri" w:hAnsi="Calibri"/>
                <w:sz w:val="22"/>
              </w:rPr>
              <w:t>$2.397B</w:t>
            </w:r>
          </w:p>
        </w:tc>
        <w:tc>
          <w:tcPr>
            <w:tcW w:type="dxa" w:w="1728"/>
          </w:tcPr>
          <w:p>
            <w:r>
              <w:rPr>
                <w:rFonts w:ascii="Calibri" w:hAnsi="Calibri"/>
                <w:sz w:val="22"/>
              </w:rPr>
              <w:t>$2.370B</w:t>
            </w:r>
          </w:p>
        </w:tc>
        <w:tc>
          <w:tcPr>
            <w:tcW w:type="dxa" w:w="1728"/>
          </w:tcPr>
          <w:p>
            <w:r>
              <w:rPr>
                <w:rFonts w:ascii="Calibri" w:hAnsi="Calibri"/>
                <w:b/>
                <w:color w:val="30A46C"/>
                <w:sz w:val="22"/>
              </w:rPr>
              <w:t>+1.1%</w:t>
            </w:r>
          </w:p>
        </w:tc>
        <w:tc>
          <w:tcPr>
            <w:tcW w:type="dxa" w:w="1728"/>
          </w:tcPr>
          <w:p>
            <w:r>
              <w:rPr>
                <w:rFonts w:ascii="Calibri" w:hAnsi="Calibri"/>
                <w:sz w:val="22"/>
              </w:rPr>
              <w:t>Beat</w:t>
            </w:r>
          </w:p>
        </w:tc>
      </w:tr>
      <w:tr>
        <w:tc>
          <w:tcPr>
            <w:tcW w:type="dxa" w:w="1728"/>
          </w:tcPr>
          <w:p>
            <w:r>
              <w:rPr>
                <w:rFonts w:ascii="Calibri" w:hAnsi="Calibri"/>
                <w:sz w:val="22"/>
              </w:rPr>
              <w:t>Q1 2026</w:t>
            </w:r>
          </w:p>
        </w:tc>
        <w:tc>
          <w:tcPr>
            <w:tcW w:type="dxa" w:w="1728"/>
          </w:tcPr>
          <w:p>
            <w:r>
              <w:rPr>
                <w:rFonts w:ascii="Calibri" w:hAnsi="Calibri"/>
                <w:sz w:val="22"/>
              </w:rPr>
              <w:t>$2.125B</w:t>
            </w:r>
          </w:p>
        </w:tc>
        <w:tc>
          <w:tcPr>
            <w:tcW w:type="dxa" w:w="1728"/>
          </w:tcPr>
          <w:p>
            <w:r>
              <w:rPr>
                <w:rFonts w:ascii="Calibri" w:hAnsi="Calibri"/>
                <w:sz w:val="22"/>
              </w:rPr>
              <w:t>$2.110B</w:t>
            </w:r>
          </w:p>
        </w:tc>
        <w:tc>
          <w:tcPr>
            <w:tcW w:type="dxa" w:w="1728"/>
          </w:tcPr>
          <w:p>
            <w:r>
              <w:rPr>
                <w:rFonts w:ascii="Calibri" w:hAnsi="Calibri"/>
                <w:b/>
                <w:color w:val="30A46C"/>
                <w:sz w:val="22"/>
              </w:rPr>
              <w:t>+0.7%</w:t>
            </w:r>
          </w:p>
        </w:tc>
        <w:tc>
          <w:tcPr>
            <w:tcW w:type="dxa" w:w="1728"/>
          </w:tcPr>
          <w:p>
            <w:r>
              <w:rPr>
                <w:rFonts w:ascii="Calibri" w:hAnsi="Calibri"/>
                <w:sz w:val="22"/>
              </w:rPr>
              <w:t>Beat</w:t>
            </w:r>
          </w:p>
        </w:tc>
      </w:tr>
    </w:tbl>
    <w:p>
      <w:pPr>
        <w:pStyle w:val="Heading4"/>
      </w:pPr>
      <w:r>
        <w:rPr>
          <w:rFonts w:ascii="Calibri" w:hAnsi="Calibri"/>
          <w:b/>
          <w:color w:val="3B4259"/>
          <w:sz w:val="22"/>
        </w:rPr>
        <w:t>Adj. EPS — Diluted (Operating)</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w:t>
            </w:r>
          </w:p>
        </w:tc>
        <w:tc>
          <w:tcPr>
            <w:tcW w:type="dxa" w:w="1728"/>
            <w:shd w:val="clear" w:color="auto" w:fill="3B4259"/>
          </w:tcPr>
          <w:p>
            <w:r>
              <w:rPr>
                <w:rFonts w:ascii="Calibri" w:hAnsi="Calibri"/>
                <w:b/>
                <w:color w:val="FFFFFF"/>
                <w:sz w:val="22"/>
              </w:rPr>
              <w:t>Consensus ($)</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$1.26</w:t>
            </w:r>
          </w:p>
        </w:tc>
        <w:tc>
          <w:tcPr>
            <w:tcW w:type="dxa" w:w="1728"/>
          </w:tcPr>
          <w:p>
            <w:r>
              <w:rPr>
                <w:rFonts w:ascii="Calibri" w:hAnsi="Calibri"/>
                <w:sz w:val="22"/>
              </w:rPr>
              <w:t>$1.14</w:t>
            </w:r>
          </w:p>
        </w:tc>
        <w:tc>
          <w:tcPr>
            <w:tcW w:type="dxa" w:w="1728"/>
          </w:tcPr>
          <w:p>
            <w:r>
              <w:rPr>
                <w:rFonts w:ascii="Calibri" w:hAnsi="Calibri"/>
                <w:b/>
                <w:color w:val="30A46C"/>
                <w:sz w:val="22"/>
              </w:rPr>
              <w:t>+10.5%</w:t>
            </w:r>
          </w:p>
        </w:tc>
        <w:tc>
          <w:tcPr>
            <w:tcW w:type="dxa" w:w="1728"/>
          </w:tcPr>
          <w:p>
            <w:r>
              <w:rPr>
                <w:rFonts w:ascii="Calibri" w:hAnsi="Calibri"/>
                <w:sz w:val="22"/>
              </w:rPr>
              <w:t>Beat</w:t>
            </w:r>
          </w:p>
        </w:tc>
      </w:tr>
      <w:tr>
        <w:tc>
          <w:tcPr>
            <w:tcW w:type="dxa" w:w="1728"/>
          </w:tcPr>
          <w:p>
            <w:r>
              <w:rPr>
                <w:rFonts w:ascii="Calibri" w:hAnsi="Calibri"/>
                <w:sz w:val="22"/>
              </w:rPr>
              <w:t>Q3 2024</w:t>
            </w:r>
          </w:p>
        </w:tc>
        <w:tc>
          <w:tcPr>
            <w:tcW w:type="dxa" w:w="1728"/>
          </w:tcPr>
          <w:p>
            <w:r>
              <w:rPr>
                <w:rFonts w:ascii="Calibri" w:hAnsi="Calibri"/>
                <w:sz w:val="22"/>
              </w:rPr>
              <w:t>$1.11</w:t>
            </w:r>
          </w:p>
        </w:tc>
        <w:tc>
          <w:tcPr>
            <w:tcW w:type="dxa" w:w="1728"/>
          </w:tcPr>
          <w:p>
            <w:r>
              <w:rPr>
                <w:rFonts w:ascii="Calibri" w:hAnsi="Calibri"/>
                <w:sz w:val="22"/>
              </w:rPr>
              <w:t>$1.11</w:t>
            </w:r>
          </w:p>
        </w:tc>
        <w:tc>
          <w:tcPr>
            <w:tcW w:type="dxa" w:w="1728"/>
          </w:tcPr>
          <w:p>
            <w:r>
              <w:rPr>
                <w:rFonts w:ascii="Calibri" w:hAnsi="Calibri"/>
                <w:sz w:val="22"/>
              </w:rPr>
              <w:t>0.0%</w:t>
            </w:r>
          </w:p>
        </w:tc>
        <w:tc>
          <w:tcPr>
            <w:tcW w:type="dxa" w:w="1728"/>
          </w:tcPr>
          <w:p>
            <w:r>
              <w:rPr>
                <w:rFonts w:ascii="Calibri" w:hAnsi="Calibri"/>
                <w:sz w:val="22"/>
              </w:rPr>
              <w:t>In Line</w:t>
            </w:r>
          </w:p>
        </w:tc>
      </w:tr>
      <w:tr>
        <w:tc>
          <w:tcPr>
            <w:tcW w:type="dxa" w:w="1728"/>
          </w:tcPr>
          <w:p>
            <w:r>
              <w:rPr>
                <w:rFonts w:ascii="Calibri" w:hAnsi="Calibri"/>
                <w:sz w:val="22"/>
              </w:rPr>
              <w:t>Q4 2024</w:t>
            </w:r>
          </w:p>
        </w:tc>
        <w:tc>
          <w:tcPr>
            <w:tcW w:type="dxa" w:w="1728"/>
          </w:tcPr>
          <w:p>
            <w:r>
              <w:rPr>
                <w:rFonts w:ascii="Calibri" w:hAnsi="Calibri"/>
                <w:sz w:val="22"/>
              </w:rPr>
              <w:t>$1.18</w:t>
            </w:r>
          </w:p>
        </w:tc>
        <w:tc>
          <w:tcPr>
            <w:tcW w:type="dxa" w:w="1728"/>
          </w:tcPr>
          <w:p>
            <w:r>
              <w:rPr>
                <w:rFonts w:ascii="Calibri" w:hAnsi="Calibri"/>
                <w:sz w:val="22"/>
              </w:rPr>
              <w:t>$1.13</w:t>
            </w:r>
          </w:p>
        </w:tc>
        <w:tc>
          <w:tcPr>
            <w:tcW w:type="dxa" w:w="1728"/>
          </w:tcPr>
          <w:p>
            <w:r>
              <w:rPr>
                <w:rFonts w:ascii="Calibri" w:hAnsi="Calibri"/>
                <w:b/>
                <w:color w:val="30A46C"/>
                <w:sz w:val="22"/>
              </w:rPr>
              <w:t>+4.4%</w:t>
            </w:r>
          </w:p>
        </w:tc>
        <w:tc>
          <w:tcPr>
            <w:tcW w:type="dxa" w:w="1728"/>
          </w:tcPr>
          <w:p>
            <w:r>
              <w:rPr>
                <w:rFonts w:ascii="Calibri" w:hAnsi="Calibri"/>
                <w:sz w:val="22"/>
              </w:rPr>
              <w:t>Beat</w:t>
            </w:r>
          </w:p>
        </w:tc>
      </w:tr>
      <w:tr>
        <w:tc>
          <w:tcPr>
            <w:tcW w:type="dxa" w:w="1728"/>
          </w:tcPr>
          <w:p>
            <w:r>
              <w:rPr>
                <w:rFonts w:ascii="Calibri" w:hAnsi="Calibri"/>
                <w:sz w:val="22"/>
              </w:rPr>
              <w:t>Q1 2025</w:t>
            </w:r>
          </w:p>
        </w:tc>
        <w:tc>
          <w:tcPr>
            <w:tcW w:type="dxa" w:w="1728"/>
          </w:tcPr>
          <w:p>
            <w:r>
              <w:rPr>
                <w:rFonts w:ascii="Calibri" w:hAnsi="Calibri"/>
                <w:sz w:val="22"/>
              </w:rPr>
              <w:t>$1.03</w:t>
            </w:r>
          </w:p>
        </w:tc>
        <w:tc>
          <w:tcPr>
            <w:tcW w:type="dxa" w:w="1728"/>
          </w:tcPr>
          <w:p>
            <w:r>
              <w:rPr>
                <w:rFonts w:ascii="Calibri" w:hAnsi="Calibri"/>
                <w:sz w:val="22"/>
              </w:rPr>
              <w:t>$0.95</w:t>
            </w:r>
          </w:p>
        </w:tc>
        <w:tc>
          <w:tcPr>
            <w:tcW w:type="dxa" w:w="1728"/>
          </w:tcPr>
          <w:p>
            <w:r>
              <w:rPr>
                <w:rFonts w:ascii="Calibri" w:hAnsi="Calibri"/>
                <w:b/>
                <w:color w:val="30A46C"/>
                <w:sz w:val="22"/>
              </w:rPr>
              <w:t>+8.4%</w:t>
            </w:r>
          </w:p>
        </w:tc>
        <w:tc>
          <w:tcPr>
            <w:tcW w:type="dxa" w:w="1728"/>
          </w:tcPr>
          <w:p>
            <w:r>
              <w:rPr>
                <w:rFonts w:ascii="Calibri" w:hAnsi="Calibri"/>
                <w:sz w:val="22"/>
              </w:rPr>
              <w:t>Beat</w:t>
            </w:r>
          </w:p>
        </w:tc>
      </w:tr>
      <w:tr>
        <w:tc>
          <w:tcPr>
            <w:tcW w:type="dxa" w:w="1728"/>
          </w:tcPr>
          <w:p>
            <w:r>
              <w:rPr>
                <w:rFonts w:ascii="Calibri" w:hAnsi="Calibri"/>
                <w:sz w:val="22"/>
              </w:rPr>
              <w:t>Q2 2025</w:t>
            </w:r>
          </w:p>
        </w:tc>
        <w:tc>
          <w:tcPr>
            <w:tcW w:type="dxa" w:w="1728"/>
          </w:tcPr>
          <w:p>
            <w:r>
              <w:rPr>
                <w:rFonts w:ascii="Calibri" w:hAnsi="Calibri"/>
                <w:sz w:val="22"/>
              </w:rPr>
              <w:t>$1.26</w:t>
            </w:r>
          </w:p>
        </w:tc>
        <w:tc>
          <w:tcPr>
            <w:tcW w:type="dxa" w:w="1728"/>
          </w:tcPr>
          <w:p>
            <w:r>
              <w:rPr>
                <w:rFonts w:ascii="Calibri" w:hAnsi="Calibri"/>
                <w:sz w:val="22"/>
              </w:rPr>
              <w:t>$1.14</w:t>
            </w:r>
          </w:p>
        </w:tc>
        <w:tc>
          <w:tcPr>
            <w:tcW w:type="dxa" w:w="1728"/>
          </w:tcPr>
          <w:p>
            <w:r>
              <w:rPr>
                <w:rFonts w:ascii="Calibri" w:hAnsi="Calibri"/>
                <w:b/>
                <w:color w:val="30A46C"/>
                <w:sz w:val="22"/>
              </w:rPr>
              <w:t>+10.5%</w:t>
            </w:r>
          </w:p>
        </w:tc>
        <w:tc>
          <w:tcPr>
            <w:tcW w:type="dxa" w:w="1728"/>
          </w:tcPr>
          <w:p>
            <w:r>
              <w:rPr>
                <w:rFonts w:ascii="Calibri" w:hAnsi="Calibri"/>
                <w:sz w:val="22"/>
              </w:rPr>
              <w:t>Beat</w:t>
            </w:r>
          </w:p>
        </w:tc>
      </w:tr>
      <w:tr>
        <w:tc>
          <w:tcPr>
            <w:tcW w:type="dxa" w:w="1728"/>
          </w:tcPr>
          <w:p>
            <w:r>
              <w:rPr>
                <w:rFonts w:ascii="Calibri" w:hAnsi="Calibri"/>
                <w:sz w:val="22"/>
              </w:rPr>
              <w:t>Q3 2025</w:t>
            </w:r>
          </w:p>
        </w:tc>
        <w:tc>
          <w:tcPr>
            <w:tcW w:type="dxa" w:w="1728"/>
          </w:tcPr>
          <w:p>
            <w:r>
              <w:rPr>
                <w:rFonts w:ascii="Calibri" w:hAnsi="Calibri"/>
                <w:sz w:val="22"/>
              </w:rPr>
              <w:t>$1.37</w:t>
            </w:r>
          </w:p>
        </w:tc>
        <w:tc>
          <w:tcPr>
            <w:tcW w:type="dxa" w:w="1728"/>
          </w:tcPr>
          <w:p>
            <w:r>
              <w:rPr>
                <w:rFonts w:ascii="Calibri" w:hAnsi="Calibri"/>
                <w:sz w:val="22"/>
              </w:rPr>
              <w:t>$1.23</w:t>
            </w:r>
          </w:p>
        </w:tc>
        <w:tc>
          <w:tcPr>
            <w:tcW w:type="dxa" w:w="1728"/>
          </w:tcPr>
          <w:p>
            <w:r>
              <w:rPr>
                <w:rFonts w:ascii="Calibri" w:hAnsi="Calibri"/>
                <w:b/>
                <w:color w:val="30A46C"/>
                <w:sz w:val="22"/>
              </w:rPr>
              <w:t>+11.4%</w:t>
            </w:r>
          </w:p>
        </w:tc>
        <w:tc>
          <w:tcPr>
            <w:tcW w:type="dxa" w:w="1728"/>
          </w:tcPr>
          <w:p>
            <w:r>
              <w:rPr>
                <w:rFonts w:ascii="Calibri" w:hAnsi="Calibri"/>
                <w:sz w:val="22"/>
              </w:rPr>
              <w:t>Beat</w:t>
            </w:r>
          </w:p>
        </w:tc>
      </w:tr>
      <w:tr>
        <w:tc>
          <w:tcPr>
            <w:tcW w:type="dxa" w:w="1728"/>
          </w:tcPr>
          <w:p>
            <w:r>
              <w:rPr>
                <w:rFonts w:ascii="Calibri" w:hAnsi="Calibri"/>
                <w:sz w:val="22"/>
              </w:rPr>
              <w:t>Q4 2025</w:t>
            </w:r>
          </w:p>
        </w:tc>
        <w:tc>
          <w:tcPr>
            <w:tcW w:type="dxa" w:w="1728"/>
          </w:tcPr>
          <w:p>
            <w:r>
              <w:rPr>
                <w:rFonts w:ascii="Calibri" w:hAnsi="Calibri"/>
                <w:sz w:val="22"/>
              </w:rPr>
              <w:t>$1.42</w:t>
            </w:r>
          </w:p>
        </w:tc>
        <w:tc>
          <w:tcPr>
            <w:tcW w:type="dxa" w:w="1728"/>
          </w:tcPr>
          <w:p>
            <w:r>
              <w:rPr>
                <w:rFonts w:ascii="Calibri" w:hAnsi="Calibri"/>
                <w:sz w:val="22"/>
              </w:rPr>
              <w:t>$1.41</w:t>
            </w:r>
          </w:p>
        </w:tc>
        <w:tc>
          <w:tcPr>
            <w:tcW w:type="dxa" w:w="1728"/>
          </w:tcPr>
          <w:p>
            <w:r>
              <w:rPr>
                <w:rFonts w:ascii="Calibri" w:hAnsi="Calibri"/>
                <w:b/>
                <w:color w:val="30A46C"/>
                <w:sz w:val="22"/>
              </w:rPr>
              <w:t>+0.7%</w:t>
            </w:r>
          </w:p>
        </w:tc>
        <w:tc>
          <w:tcPr>
            <w:tcW w:type="dxa" w:w="1728"/>
          </w:tcPr>
          <w:p>
            <w:r>
              <w:rPr>
                <w:rFonts w:ascii="Calibri" w:hAnsi="Calibri"/>
                <w:sz w:val="22"/>
              </w:rPr>
              <w:t>Beat</w:t>
            </w:r>
          </w:p>
        </w:tc>
      </w:tr>
      <w:tr>
        <w:tc>
          <w:tcPr>
            <w:tcW w:type="dxa" w:w="1728"/>
          </w:tcPr>
          <w:p>
            <w:r>
              <w:rPr>
                <w:rFonts w:ascii="Calibri" w:hAnsi="Calibri"/>
                <w:sz w:val="22"/>
              </w:rPr>
              <w:t>Q1 2026</w:t>
            </w:r>
          </w:p>
        </w:tc>
        <w:tc>
          <w:tcPr>
            <w:tcW w:type="dxa" w:w="1728"/>
          </w:tcPr>
          <w:p>
            <w:r>
              <w:rPr>
                <w:rFonts w:ascii="Calibri" w:hAnsi="Calibri"/>
                <w:sz w:val="22"/>
              </w:rPr>
              <w:t>$1.12</w:t>
            </w:r>
          </w:p>
        </w:tc>
        <w:tc>
          <w:tcPr>
            <w:tcW w:type="dxa" w:w="1728"/>
          </w:tcPr>
          <w:p>
            <w:r>
              <w:rPr>
                <w:rFonts w:ascii="Calibri" w:hAnsi="Calibri"/>
                <w:sz w:val="22"/>
              </w:rPr>
              <w:t>$1.09</w:t>
            </w:r>
          </w:p>
        </w:tc>
        <w:tc>
          <w:tcPr>
            <w:tcW w:type="dxa" w:w="1728"/>
          </w:tcPr>
          <w:p>
            <w:r>
              <w:rPr>
                <w:rFonts w:ascii="Calibri" w:hAnsi="Calibri"/>
                <w:b/>
                <w:color w:val="30A46C"/>
                <w:sz w:val="22"/>
              </w:rPr>
              <w:t>+2.8%</w:t>
            </w:r>
          </w:p>
        </w:tc>
        <w:tc>
          <w:tcPr>
            <w:tcW w:type="dxa" w:w="1728"/>
          </w:tcPr>
          <w:p>
            <w:r>
              <w:rPr>
                <w:rFonts w:ascii="Calibri" w:hAnsi="Calibri"/>
                <w:sz w:val="22"/>
              </w:rPr>
              <w:t>Beat</w:t>
            </w:r>
          </w:p>
        </w:tc>
      </w:tr>
    </w:tbl>
    <w:p>
      <w:r>
        <w:rPr>
          <w:rFonts w:ascii="Calibri" w:hAnsi="Calibri"/>
          <w:b/>
          <w:color w:val="525866"/>
          <w:sz w:val="22"/>
        </w:rPr>
        <w:t xml:space="preserve">Pattern: </w:t>
      </w:r>
      <w:r>
        <w:rPr>
          <w:rFonts w:ascii="Calibri" w:hAnsi="Calibri"/>
          <w:i/>
          <w:color w:val="525866"/>
          <w:sz w:val="22"/>
        </w:rPr>
        <w:t>XYL has beaten revenue consensus in 7 of the last 8 quarters and beaten EPS consensus in all 8 quarters, with EPS beats averaging ~6% — a consistent track record that sets a high bar for the Street’s expectations heading into Q2 2026.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Guidance is essentially unchanged since the Q1 2026 earnings call on April 28 — the only revision was a modest upward tweak to reported revenue (reflecting the delayed MCS divestiture close) while organic growth, EBITDA margin, and EPS ranges were all held. </w:t>
      </w:r>
      <w:r>
        <w:rPr>
          <w:rFonts w:ascii="Calibri" w:hAnsi="Calibri"/>
          <w:b/>
          <w:color w:val="525866"/>
          <w:sz w:val="22"/>
        </w:rPr>
        <w:t>Management tone remains constructive but deliberately measured</w:t>
      </w:r>
      <w:r>
        <w:rPr>
          <w:rFonts w:ascii="Calibri" w:hAnsi="Calibri"/>
          <w:color w:val="525866"/>
          <w:sz w:val="22"/>
        </w:rPr>
        <w:t>, framing the unchanged EPS range as prudence rather than caution.</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Apr 28)</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Q2 2026 Revenue (Reported Growth)</w:t>
            </w:r>
          </w:p>
        </w:tc>
        <w:tc>
          <w:tcPr>
            <w:tcW w:type="dxa" w:w="1728"/>
          </w:tcPr>
          <w:p>
            <w:r>
              <w:rPr>
                <w:rFonts w:ascii="Calibri" w:hAnsi="Calibri"/>
                <w:sz w:val="22"/>
              </w:rPr>
              <w:t>+2% to +3% reported</w:t>
            </w:r>
          </w:p>
        </w:tc>
        <w:tc>
          <w:tcPr>
            <w:tcW w:type="dxa" w:w="1728"/>
          </w:tcPr>
          <w:p>
            <w:r>
              <w:rPr>
                <w:rFonts w:ascii="Calibri" w:hAnsi="Calibri"/>
                <w:sz w:val="22"/>
              </w:rPr>
              <w:t>—</w:t>
            </w:r>
          </w:p>
        </w:tc>
        <w:tc>
          <w:tcPr>
            <w:tcW w:type="dxa" w:w="1728"/>
          </w:tcPr>
          <w:p>
            <w:r>
              <w:rPr>
                <w:rFonts w:ascii="Calibri" w:hAnsi="Calibri"/>
                <w:sz w:val="22"/>
              </w:rPr>
              <w:t>$2.339B (~+1.7% YoY)</w:t>
            </w:r>
          </w:p>
        </w:tc>
        <w:tc>
          <w:tcPr>
            <w:tcW w:type="dxa" w:w="1728"/>
          </w:tcPr>
          <w:p>
            <w:r>
              <w:rPr>
                <w:rFonts w:ascii="Calibri" w:hAnsi="Calibri"/>
                <w:sz w:val="22"/>
              </w:rPr>
              <w:t>Consensus at low end of guided range; no post-earnings revision</w:t>
            </w:r>
          </w:p>
        </w:tc>
      </w:tr>
      <w:tr>
        <w:tc>
          <w:tcPr>
            <w:tcW w:type="dxa" w:w="1728"/>
          </w:tcPr>
          <w:p>
            <w:r>
              <w:rPr>
                <w:rFonts w:ascii="Calibri" w:hAnsi="Calibri"/>
                <w:sz w:val="22"/>
              </w:rPr>
              <w:t>Q2 2026 Organic Revenue Growth</w:t>
            </w:r>
          </w:p>
        </w:tc>
        <w:tc>
          <w:tcPr>
            <w:tcW w:type="dxa" w:w="1728"/>
          </w:tcPr>
          <w:p>
            <w:r>
              <w:rPr>
                <w:rFonts w:ascii="Calibri" w:hAnsi="Calibri"/>
                <w:sz w:val="22"/>
              </w:rPr>
              <w:t>~+1% organic</w:t>
            </w:r>
          </w:p>
        </w:tc>
        <w:tc>
          <w:tcPr>
            <w:tcW w:type="dxa" w:w="1728"/>
          </w:tcPr>
          <w:p>
            <w:r>
              <w:rPr>
                <w:rFonts w:ascii="Calibri" w:hAnsi="Calibri"/>
                <w:sz w:val="22"/>
              </w:rPr>
              <w:t>—</w:t>
            </w:r>
          </w:p>
        </w:tc>
        <w:tc>
          <w:tcPr>
            <w:tcW w:type="dxa" w:w="1728"/>
          </w:tcPr>
          <w:p>
            <w:r>
              <w:rPr>
                <w:rFonts w:ascii="Calibri" w:hAnsi="Calibri"/>
                <w:sz w:val="22"/>
              </w:rPr>
              <w:t>+0.9%</w:t>
            </w:r>
          </w:p>
        </w:tc>
        <w:tc>
          <w:tcPr>
            <w:tcW w:type="dxa" w:w="1728"/>
          </w:tcPr>
          <w:p>
            <w:r>
              <w:rPr>
                <w:rFonts w:ascii="Calibri" w:hAnsi="Calibri"/>
                <w:sz w:val="22"/>
              </w:rPr>
              <w:t>Consensus essentially in line with guidance</w:t>
            </w:r>
          </w:p>
        </w:tc>
      </w:tr>
      <w:tr>
        <w:tc>
          <w:tcPr>
            <w:tcW w:type="dxa" w:w="1728"/>
          </w:tcPr>
          <w:p>
            <w:r>
              <w:rPr>
                <w:rFonts w:ascii="Calibri" w:hAnsi="Calibri"/>
                <w:sz w:val="22"/>
              </w:rPr>
              <w:t>Q2 2026 Adj. EBITDA Margin</w:t>
            </w:r>
          </w:p>
        </w:tc>
        <w:tc>
          <w:tcPr>
            <w:tcW w:type="dxa" w:w="1728"/>
          </w:tcPr>
          <w:p>
            <w:r>
              <w:rPr>
                <w:rFonts w:ascii="Calibri" w:hAnsi="Calibri"/>
                <w:sz w:val="22"/>
              </w:rPr>
              <w:t>22.0%–22.5% (+20 to +70 bps YoY)</w:t>
            </w:r>
          </w:p>
        </w:tc>
        <w:tc>
          <w:tcPr>
            <w:tcW w:type="dxa" w:w="1728"/>
          </w:tcPr>
          <w:p>
            <w:r>
              <w:rPr>
                <w:rFonts w:ascii="Calibri" w:hAnsi="Calibri"/>
                <w:sz w:val="22"/>
              </w:rPr>
              <w:t>—</w:t>
            </w:r>
          </w:p>
        </w:tc>
        <w:tc>
          <w:tcPr>
            <w:tcW w:type="dxa" w:w="1728"/>
          </w:tcPr>
          <w:p>
            <w:r>
              <w:rPr>
                <w:rFonts w:ascii="Calibri" w:hAnsi="Calibri"/>
                <w:sz w:val="22"/>
              </w:rPr>
              <w:t>22.1%</w:t>
            </w:r>
          </w:p>
        </w:tc>
        <w:tc>
          <w:tcPr>
            <w:tcW w:type="dxa" w:w="1728"/>
          </w:tcPr>
          <w:p>
            <w:r>
              <w:rPr>
                <w:rFonts w:ascii="Calibri" w:hAnsi="Calibri"/>
                <w:sz w:val="22"/>
              </w:rPr>
              <w:t>Consensus at low end of range; margin expansion driven by price, productivity, volume</w:t>
            </w:r>
          </w:p>
        </w:tc>
      </w:tr>
      <w:tr>
        <w:tc>
          <w:tcPr>
            <w:tcW w:type="dxa" w:w="1728"/>
          </w:tcPr>
          <w:p>
            <w:r>
              <w:rPr>
                <w:rFonts w:ascii="Calibri" w:hAnsi="Calibri"/>
                <w:sz w:val="22"/>
              </w:rPr>
              <w:t>Q2 2026 Adj. EPS</w:t>
            </w:r>
          </w:p>
        </w:tc>
        <w:tc>
          <w:tcPr>
            <w:tcW w:type="dxa" w:w="1728"/>
          </w:tcPr>
          <w:p>
            <w:r>
              <w:rPr>
                <w:rFonts w:ascii="Calibri" w:hAnsi="Calibri"/>
                <w:sz w:val="22"/>
              </w:rPr>
              <w:t>$1.31–$1.36</w:t>
            </w:r>
          </w:p>
        </w:tc>
        <w:tc>
          <w:tcPr>
            <w:tcW w:type="dxa" w:w="1728"/>
          </w:tcPr>
          <w:p>
            <w:r>
              <w:rPr>
                <w:rFonts w:ascii="Calibri" w:hAnsi="Calibri"/>
                <w:sz w:val="22"/>
              </w:rPr>
              <w:t>—</w:t>
            </w:r>
          </w:p>
        </w:tc>
        <w:tc>
          <w:tcPr>
            <w:tcW w:type="dxa" w:w="1728"/>
          </w:tcPr>
          <w:p>
            <w:r>
              <w:rPr>
                <w:rFonts w:ascii="Calibri" w:hAnsi="Calibri"/>
                <w:sz w:val="22"/>
              </w:rPr>
              <w:t>$1.33</w:t>
            </w:r>
          </w:p>
        </w:tc>
        <w:tc>
          <w:tcPr>
            <w:tcW w:type="dxa" w:w="1728"/>
          </w:tcPr>
          <w:p>
            <w:r>
              <w:rPr>
                <w:rFonts w:ascii="Calibri" w:hAnsi="Calibri"/>
                <w:sz w:val="22"/>
              </w:rPr>
              <w:t>Consensus near midpoint; no post-earnings change</w:t>
            </w:r>
          </w:p>
        </w:tc>
      </w:tr>
      <w:tr>
        <w:tc>
          <w:tcPr>
            <w:tcW w:type="dxa" w:w="1728"/>
          </w:tcPr>
          <w:p>
            <w:r>
              <w:rPr>
                <w:rFonts w:ascii="Calibri" w:hAnsi="Calibri"/>
                <w:sz w:val="22"/>
              </w:rPr>
              <w:t>FY 2026 Revenue (Reported)</w:t>
            </w:r>
          </w:p>
        </w:tc>
        <w:tc>
          <w:tcPr>
            <w:tcW w:type="dxa" w:w="1728"/>
          </w:tcPr>
          <w:p>
            <w:r>
              <w:rPr>
                <w:rFonts w:ascii="Calibri" w:hAnsi="Calibri"/>
                <w:sz w:val="22"/>
              </w:rPr>
              <w:t>$9.2B–$9.3B (raised from $9.1B–$9.2B)</w:t>
            </w:r>
          </w:p>
        </w:tc>
        <w:tc>
          <w:tcPr>
            <w:tcW w:type="dxa" w:w="1728"/>
          </w:tcPr>
          <w:p>
            <w:r>
              <w:rPr>
                <w:rFonts w:ascii="Calibri" w:hAnsi="Calibri"/>
                <w:sz w:val="22"/>
              </w:rPr>
              <w:t>↑ Raised at Q1 earnings Apr 28 due to delayed MCS divestiture close</w:t>
            </w:r>
          </w:p>
        </w:tc>
        <w:tc>
          <w:tcPr>
            <w:tcW w:type="dxa" w:w="1728"/>
          </w:tcPr>
          <w:p>
            <w:r>
              <w:rPr>
                <w:rFonts w:ascii="Calibri" w:hAnsi="Calibri"/>
                <w:sz w:val="22"/>
              </w:rPr>
              <w:t>$9.254B</w:t>
            </w:r>
          </w:p>
        </w:tc>
        <w:tc>
          <w:tcPr>
            <w:tcW w:type="dxa" w:w="1728"/>
          </w:tcPr>
          <w:p>
            <w:r>
              <w:rPr>
                <w:rFonts w:ascii="Calibri" w:hAnsi="Calibri"/>
                <w:sz w:val="22"/>
              </w:rPr>
              <w:t>↑ Raised Apr 28; reflects delayed international metering divestiture closing to end of Q2</w:t>
            </w:r>
          </w:p>
        </w:tc>
      </w:tr>
      <w:tr>
        <w:tc>
          <w:tcPr>
            <w:tcW w:type="dxa" w:w="1728"/>
          </w:tcPr>
          <w:p>
            <w:r>
              <w:rPr>
                <w:rFonts w:ascii="Calibri" w:hAnsi="Calibri"/>
                <w:sz w:val="22"/>
              </w:rPr>
              <w:t>FY 2026 Organic Revenue Growth</w:t>
            </w:r>
          </w:p>
        </w:tc>
        <w:tc>
          <w:tcPr>
            <w:tcW w:type="dxa" w:w="1728"/>
          </w:tcPr>
          <w:p>
            <w:r>
              <w:rPr>
                <w:rFonts w:ascii="Calibri" w:hAnsi="Calibri"/>
                <w:sz w:val="22"/>
              </w:rPr>
              <w:t>+2% to +4%</w:t>
            </w:r>
          </w:p>
        </w:tc>
        <w:tc>
          <w:tcPr>
            <w:tcW w:type="dxa" w:w="1728"/>
          </w:tcPr>
          <w:p>
            <w:r>
              <w:rPr>
                <w:rFonts w:ascii="Calibri" w:hAnsi="Calibri"/>
                <w:sz w:val="22"/>
              </w:rPr>
              <w:t>—</w:t>
            </w:r>
          </w:p>
        </w:tc>
        <w:tc>
          <w:tcPr>
            <w:tcW w:type="dxa" w:w="1728"/>
          </w:tcPr>
          <w:p>
            <w:r>
              <w:rPr>
                <w:rFonts w:ascii="Calibri" w:hAnsi="Calibri"/>
                <w:sz w:val="22"/>
              </w:rPr>
              <w:t>+2.7%</w:t>
            </w:r>
          </w:p>
        </w:tc>
        <w:tc>
          <w:tcPr>
            <w:tcW w:type="dxa" w:w="1728"/>
          </w:tcPr>
          <w:p>
            <w:r>
              <w:rPr>
                <w:rFonts w:ascii="Calibri" w:hAnsi="Calibri"/>
                <w:sz w:val="22"/>
              </w:rPr>
              <w:t>Unchanged vs. prior guidance; consensus within range</w:t>
            </w:r>
          </w:p>
        </w:tc>
      </w:tr>
      <w:tr>
        <w:tc>
          <w:tcPr>
            <w:tcW w:type="dxa" w:w="1728"/>
          </w:tcPr>
          <w:p>
            <w:r>
              <w:rPr>
                <w:rFonts w:ascii="Calibri" w:hAnsi="Calibri"/>
                <w:sz w:val="22"/>
              </w:rPr>
              <w:t>FY 2026 Adj. EBITDA Margin</w:t>
            </w:r>
          </w:p>
        </w:tc>
        <w:tc>
          <w:tcPr>
            <w:tcW w:type="dxa" w:w="1728"/>
          </w:tcPr>
          <w:p>
            <w:r>
              <w:rPr>
                <w:rFonts w:ascii="Calibri" w:hAnsi="Calibri"/>
                <w:sz w:val="22"/>
              </w:rPr>
              <w:t>22.9%–23.3% (+70 to +110 bps YoY)</w:t>
            </w:r>
          </w:p>
        </w:tc>
        <w:tc>
          <w:tcPr>
            <w:tcW w:type="dxa" w:w="1728"/>
          </w:tcPr>
          <w:p>
            <w:r>
              <w:rPr>
                <w:rFonts w:ascii="Calibri" w:hAnsi="Calibri"/>
                <w:sz w:val="22"/>
              </w:rPr>
              <w:t>—</w:t>
            </w:r>
          </w:p>
        </w:tc>
        <w:tc>
          <w:tcPr>
            <w:tcW w:type="dxa" w:w="1728"/>
          </w:tcPr>
          <w:p>
            <w:r>
              <w:rPr>
                <w:rFonts w:ascii="Calibri" w:hAnsi="Calibri"/>
                <w:sz w:val="22"/>
              </w:rPr>
              <w:t>23.0%</w:t>
            </w:r>
          </w:p>
        </w:tc>
        <w:tc>
          <w:tcPr>
            <w:tcW w:type="dxa" w:w="1728"/>
          </w:tcPr>
          <w:p>
            <w:r>
              <w:rPr>
                <w:rFonts w:ascii="Calibri" w:hAnsi="Calibri"/>
                <w:sz w:val="22"/>
              </w:rPr>
              <w:t>Unchanged; consensus at low end of range</w:t>
            </w:r>
          </w:p>
        </w:tc>
      </w:tr>
      <w:tr>
        <w:tc>
          <w:tcPr>
            <w:tcW w:type="dxa" w:w="1728"/>
          </w:tcPr>
          <w:p>
            <w:r>
              <w:rPr>
                <w:rFonts w:ascii="Calibri" w:hAnsi="Calibri"/>
                <w:sz w:val="22"/>
              </w:rPr>
              <w:t>FY 2026 Adj. EPS</w:t>
            </w:r>
          </w:p>
        </w:tc>
        <w:tc>
          <w:tcPr>
            <w:tcW w:type="dxa" w:w="1728"/>
          </w:tcPr>
          <w:p>
            <w:r>
              <w:rPr>
                <w:rFonts w:ascii="Calibri" w:hAnsi="Calibri"/>
                <w:sz w:val="22"/>
              </w:rPr>
              <w:t>$5.35–$5.60</w:t>
            </w:r>
          </w:p>
        </w:tc>
        <w:tc>
          <w:tcPr>
            <w:tcW w:type="dxa" w:w="1728"/>
          </w:tcPr>
          <w:p>
            <w:r>
              <w:rPr>
                <w:rFonts w:ascii="Calibri" w:hAnsi="Calibri"/>
                <w:sz w:val="22"/>
              </w:rPr>
              <w:t>—</w:t>
            </w:r>
          </w:p>
        </w:tc>
        <w:tc>
          <w:tcPr>
            <w:tcW w:type="dxa" w:w="1728"/>
          </w:tcPr>
          <w:p>
            <w:r>
              <w:rPr>
                <w:rFonts w:ascii="Calibri" w:hAnsi="Calibri"/>
                <w:sz w:val="22"/>
              </w:rPr>
              <w:t>$5.54</w:t>
            </w:r>
          </w:p>
        </w:tc>
        <w:tc>
          <w:tcPr>
            <w:tcW w:type="dxa" w:w="1728"/>
          </w:tcPr>
          <w:p>
            <w:r>
              <w:rPr>
                <w:rFonts w:ascii="Calibri" w:hAnsi="Calibri"/>
                <w:sz w:val="22"/>
              </w:rPr>
              <w:t>Held unchanged despite buyback tailwind; management cited “prudent approach” to macro uncertainty</w:t>
            </w:r>
          </w:p>
        </w:tc>
      </w:tr>
      <w:tr>
        <w:tc>
          <w:tcPr>
            <w:tcW w:type="dxa" w:w="1728"/>
          </w:tcPr>
          <w:p>
            <w:r>
              <w:rPr>
                <w:rFonts w:ascii="Calibri" w:hAnsi="Calibri"/>
                <w:sz w:val="22"/>
              </w:rPr>
              <w:t>FY 2026 FCF Margin</w:t>
            </w:r>
          </w:p>
        </w:tc>
        <w:tc>
          <w:tcPr>
            <w:tcW w:type="dxa" w:w="1728"/>
          </w:tcPr>
          <w:p>
            <w:r>
              <w:rPr>
                <w:rFonts w:ascii="Calibri" w:hAnsi="Calibri"/>
                <w:sz w:val="22"/>
              </w:rPr>
              <w:t>~10.2%–11.0%</w:t>
            </w:r>
          </w:p>
        </w:tc>
        <w:tc>
          <w:tcPr>
            <w:tcW w:type="dxa" w:w="1728"/>
          </w:tcPr>
          <w:p>
            <w:r>
              <w:rPr>
                <w:rFonts w:ascii="Calibri" w:hAnsi="Calibri"/>
                <w:sz w:val="22"/>
              </w:rPr>
              <w:t>—</w:t>
            </w:r>
          </w:p>
        </w:tc>
        <w:tc>
          <w:tcPr>
            <w:tcW w:type="dxa" w:w="1728"/>
          </w:tcPr>
          <w:p>
            <w:r>
              <w:rPr>
                <w:rFonts w:ascii="Calibri" w:hAnsi="Calibri"/>
                <w:sz w:val="22"/>
              </w:rPr>
              <w:t>~10.6% implied</w:t>
            </w:r>
          </w:p>
        </w:tc>
        <w:tc>
          <w:tcPr>
            <w:tcW w:type="dxa" w:w="1728"/>
          </w:tcPr>
          <w:p>
            <w:r>
              <w:rPr>
                <w:rFonts w:ascii="Calibri" w:hAnsi="Calibri"/>
                <w:sz w:val="22"/>
              </w:rPr>
              <w:t>Unchanged; committed to low-double-digit FCF margin long-term</w:t>
            </w:r>
          </w:p>
        </w:tc>
      </w:tr>
      <w:tr>
        <w:tc>
          <w:tcPr>
            <w:tcW w:type="dxa" w:w="1728"/>
          </w:tcPr>
          <w:p>
            <w:r>
              <w:rPr>
                <w:rFonts w:ascii="Calibri" w:hAnsi="Calibri"/>
                <w:sz w:val="22"/>
              </w:rPr>
              <w:t>MCS International Metering Divestiture</w:t>
            </w:r>
          </w:p>
        </w:tc>
        <w:tc>
          <w:tcPr>
            <w:tcW w:type="dxa" w:w="1728"/>
          </w:tcPr>
          <w:p>
            <w:r>
              <w:rPr>
                <w:rFonts w:ascii="Calibri" w:hAnsi="Calibri"/>
                <w:sz w:val="22"/>
              </w:rPr>
              <w:t>Expected to close end of Q2 2026</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Delayed from Q1 due to regulatory approval timing; key catalyst for MCS margin step-up</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have drifted modestly lower since the Q1 print across all key metrics, but the moves are small (≤1%) and consensus remains comfortably within management’s guided ranges. </w:t>
      </w:r>
      <w:r>
        <w:rPr>
          <w:rFonts w:ascii="Calibri" w:hAnsi="Calibri"/>
          <w:b/>
          <w:color w:val="525866"/>
          <w:sz w:val="22"/>
        </w:rPr>
        <w:t>The gap between consensus and guidance midpoints is not a risk — it reflects the Street’s typical conservatism</w:t>
      </w:r>
      <w:r>
        <w:rPr>
          <w:rFonts w:ascii="Calibri" w:hAnsi="Calibri"/>
          <w:color w:val="525866"/>
          <w:sz w:val="22"/>
        </w:rPr>
        <w:t>, and the FY 2026 EPS consensus of $5.54 sits near the top of the $5.35–$5.60 range, implying the Street expects management to deliver toward the high end.</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(May 5, 2026)</w:t>
            </w:r>
          </w:p>
        </w:tc>
        <w:tc>
          <w:tcPr>
            <w:tcW w:type="dxa" w:w="1080"/>
            <w:shd w:val="clear" w:color="auto" w:fill="3B4259"/>
          </w:tcPr>
          <w:p>
            <w:r>
              <w:rPr>
                <w:rFonts w:ascii="Calibri" w:hAnsi="Calibri"/>
                <w:b/>
                <w:color w:val="FFFFFF"/>
                <w:sz w:val="22"/>
              </w:rPr>
              <w:t>Current Consensus (Jul 27,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Midpoint</w:t>
            </w:r>
          </w:p>
        </w:tc>
      </w:tr>
      <w:tr>
        <w:tc>
          <w:tcPr>
            <w:tcW w:type="dxa" w:w="1080"/>
          </w:tcPr>
          <w:p>
            <w:r>
              <w:rPr>
                <w:rFonts w:ascii="Calibri" w:hAnsi="Calibri"/>
                <w:sz w:val="22"/>
              </w:rPr>
              <w:t>Revenue — Q2 2026</w:t>
            </w:r>
          </w:p>
        </w:tc>
        <w:tc>
          <w:tcPr>
            <w:tcW w:type="dxa" w:w="1080"/>
          </w:tcPr>
          <w:p>
            <w:r>
              <w:rPr>
                <w:rFonts w:ascii="Calibri" w:hAnsi="Calibri"/>
                <w:sz w:val="22"/>
              </w:rPr>
              <w:t>$2.343B</w:t>
            </w:r>
          </w:p>
        </w:tc>
        <w:tc>
          <w:tcPr>
            <w:tcW w:type="dxa" w:w="1080"/>
          </w:tcPr>
          <w:p>
            <w:r>
              <w:rPr>
                <w:rFonts w:ascii="Calibri" w:hAnsi="Calibri"/>
                <w:sz w:val="22"/>
              </w:rPr>
              <w:t>$2.339B</w:t>
            </w:r>
          </w:p>
        </w:tc>
        <w:tc>
          <w:tcPr>
            <w:tcW w:type="dxa" w:w="1080"/>
          </w:tcPr>
          <w:p>
            <w:r>
              <w:rPr>
                <w:rFonts w:ascii="Calibri" w:hAnsi="Calibri"/>
                <w:sz w:val="22"/>
              </w:rPr>
              <w:t>−0.2%</w:t>
            </w:r>
          </w:p>
        </w:tc>
        <w:tc>
          <w:tcPr>
            <w:tcW w:type="dxa" w:w="1080"/>
          </w:tcPr>
          <w:p>
            <w:r>
              <w:rPr>
                <w:rFonts w:ascii="Calibri" w:hAnsi="Calibri"/>
                <w:sz w:val="22"/>
              </w:rPr>
              <w:t>2%–3% reported growth</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~−1% vs. midpoint</w:t>
            </w:r>
          </w:p>
        </w:tc>
      </w:tr>
      <w:tr>
        <w:tc>
          <w:tcPr>
            <w:tcW w:type="dxa" w:w="1080"/>
          </w:tcPr>
          <w:p>
            <w:r>
              <w:rPr>
                <w:rFonts w:ascii="Calibri" w:hAnsi="Calibri"/>
                <w:sz w:val="22"/>
              </w:rPr>
              <w:t>Adj. EPS — Q2 2026</w:t>
            </w:r>
          </w:p>
        </w:tc>
        <w:tc>
          <w:tcPr>
            <w:tcW w:type="dxa" w:w="1080"/>
          </w:tcPr>
          <w:p>
            <w:r>
              <w:rPr>
                <w:rFonts w:ascii="Calibri" w:hAnsi="Calibri"/>
                <w:sz w:val="22"/>
              </w:rPr>
              <w:t>$1.338</w:t>
            </w:r>
          </w:p>
        </w:tc>
        <w:tc>
          <w:tcPr>
            <w:tcW w:type="dxa" w:w="1080"/>
          </w:tcPr>
          <w:p>
            <w:r>
              <w:rPr>
                <w:rFonts w:ascii="Calibri" w:hAnsi="Calibri"/>
                <w:sz w:val="22"/>
              </w:rPr>
              <w:t>$1.335</w:t>
            </w:r>
          </w:p>
        </w:tc>
        <w:tc>
          <w:tcPr>
            <w:tcW w:type="dxa" w:w="1080"/>
          </w:tcPr>
          <w:p>
            <w:r>
              <w:rPr>
                <w:rFonts w:ascii="Calibri" w:hAnsi="Calibri"/>
                <w:sz w:val="22"/>
              </w:rPr>
              <w:t>−0.2%</w:t>
            </w:r>
          </w:p>
        </w:tc>
        <w:tc>
          <w:tcPr>
            <w:tcW w:type="dxa" w:w="1080"/>
          </w:tcPr>
          <w:p>
            <w:r>
              <w:rPr>
                <w:rFonts w:ascii="Calibri" w:hAnsi="Calibri"/>
                <w:sz w:val="22"/>
              </w:rPr>
              <w:t>$1.31–$1.36</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−0.4% vs. midpoint ($1.335)</w:t>
            </w:r>
          </w:p>
        </w:tc>
      </w:tr>
      <w:tr>
        <w:tc>
          <w:tcPr>
            <w:tcW w:type="dxa" w:w="1080"/>
          </w:tcPr>
          <w:p>
            <w:r>
              <w:rPr>
                <w:rFonts w:ascii="Calibri" w:hAnsi="Calibri"/>
                <w:sz w:val="22"/>
              </w:rPr>
              <w:t>Adj. EBITDA Margin — Q2 2026</w:t>
            </w:r>
          </w:p>
        </w:tc>
        <w:tc>
          <w:tcPr>
            <w:tcW w:type="dxa" w:w="1080"/>
          </w:tcPr>
          <w:p>
            <w:r>
              <w:rPr>
                <w:rFonts w:ascii="Calibri" w:hAnsi="Calibri"/>
                <w:sz w:val="22"/>
              </w:rPr>
              <w:t>22.1%</w:t>
            </w:r>
          </w:p>
        </w:tc>
        <w:tc>
          <w:tcPr>
            <w:tcW w:type="dxa" w:w="1080"/>
          </w:tcPr>
          <w:p>
            <w:r>
              <w:rPr>
                <w:rFonts w:ascii="Calibri" w:hAnsi="Calibri"/>
                <w:sz w:val="22"/>
              </w:rPr>
              <w:t>22.1%</w:t>
            </w:r>
          </w:p>
        </w:tc>
        <w:tc>
          <w:tcPr>
            <w:tcW w:type="dxa" w:w="1080"/>
          </w:tcPr>
          <w:p>
            <w:r>
              <w:rPr>
                <w:rFonts w:ascii="Calibri" w:hAnsi="Calibri"/>
                <w:sz w:val="22"/>
              </w:rPr>
              <w:t>~0 bps</w:t>
            </w:r>
          </w:p>
        </w:tc>
        <w:tc>
          <w:tcPr>
            <w:tcW w:type="dxa" w:w="1080"/>
          </w:tcPr>
          <w:p>
            <w:r>
              <w:rPr>
                <w:rFonts w:ascii="Calibri" w:hAnsi="Calibri"/>
                <w:sz w:val="22"/>
              </w:rPr>
              <w:t>22.0%–22.5%</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−15 bps vs. midpoint</w:t>
            </w:r>
          </w:p>
        </w:tc>
      </w:tr>
      <w:tr>
        <w:tc>
          <w:tcPr>
            <w:tcW w:type="dxa" w:w="1080"/>
          </w:tcPr>
          <w:p>
            <w:r>
              <w:rPr>
                <w:rFonts w:ascii="Calibri" w:hAnsi="Calibri"/>
                <w:sz w:val="22"/>
              </w:rPr>
              <w:t>Revenue — FY 2026</w:t>
            </w:r>
          </w:p>
        </w:tc>
        <w:tc>
          <w:tcPr>
            <w:tcW w:type="dxa" w:w="1080"/>
          </w:tcPr>
          <w:p>
            <w:r>
              <w:rPr>
                <w:rFonts w:ascii="Calibri" w:hAnsi="Calibri"/>
                <w:sz w:val="22"/>
              </w:rPr>
              <w:t>$9.250B</w:t>
            </w:r>
          </w:p>
        </w:tc>
        <w:tc>
          <w:tcPr>
            <w:tcW w:type="dxa" w:w="1080"/>
          </w:tcPr>
          <w:p>
            <w:r>
              <w:rPr>
                <w:rFonts w:ascii="Calibri" w:hAnsi="Calibri"/>
                <w:sz w:val="22"/>
              </w:rPr>
              <w:t>$9.254B</w:t>
            </w:r>
          </w:p>
        </w:tc>
        <w:tc>
          <w:tcPr>
            <w:tcW w:type="dxa" w:w="1080"/>
          </w:tcPr>
          <w:p>
            <w:r>
              <w:rPr>
                <w:rFonts w:ascii="Calibri" w:hAnsi="Calibri"/>
                <w:sz w:val="22"/>
              </w:rPr>
              <w:t>+0.0%</w:t>
            </w:r>
          </w:p>
        </w:tc>
        <w:tc>
          <w:tcPr>
            <w:tcW w:type="dxa" w:w="1080"/>
          </w:tcPr>
          <w:p>
            <w:r>
              <w:rPr>
                <w:rFonts w:ascii="Calibri" w:hAnsi="Calibri"/>
                <w:sz w:val="22"/>
              </w:rPr>
              <w:t>$9.2B–$9.3B</w:t>
            </w:r>
          </w:p>
        </w:tc>
        <w:tc>
          <w:tcPr>
            <w:tcW w:type="dxa" w:w="1080"/>
          </w:tcPr>
          <w:p>
            <w:r>
              <w:rPr>
                <w:rFonts w:ascii="Calibri" w:hAnsi="Calibri"/>
                <w:sz w:val="22"/>
              </w:rPr>
              <w:t>Unchanged (raised at Q1 from $9.1–$9.2B)</w:t>
            </w:r>
          </w:p>
        </w:tc>
        <w:tc>
          <w:tcPr>
            <w:tcW w:type="dxa" w:w="1080"/>
          </w:tcPr>
          <w:p>
            <w:r>
              <w:rPr>
                <w:rFonts w:ascii="Calibri" w:hAnsi="Calibri"/>
                <w:sz w:val="22"/>
              </w:rPr>
              <w:t>—</w:t>
            </w:r>
          </w:p>
        </w:tc>
        <w:tc>
          <w:tcPr>
            <w:tcW w:type="dxa" w:w="1080"/>
          </w:tcPr>
          <w:p>
            <w:r>
              <w:rPr>
                <w:rFonts w:ascii="Calibri" w:hAnsi="Calibri"/>
                <w:sz w:val="22"/>
              </w:rPr>
              <w:t>~+0.1% vs. midpoint</w:t>
            </w:r>
          </w:p>
        </w:tc>
      </w:tr>
      <w:tr>
        <w:tc>
          <w:tcPr>
            <w:tcW w:type="dxa" w:w="1080"/>
          </w:tcPr>
          <w:p>
            <w:r>
              <w:rPr>
                <w:rFonts w:ascii="Calibri" w:hAnsi="Calibri"/>
                <w:sz w:val="22"/>
              </w:rPr>
              <w:t>Adj. EPS — FY 2026</w:t>
            </w:r>
          </w:p>
        </w:tc>
        <w:tc>
          <w:tcPr>
            <w:tcW w:type="dxa" w:w="1080"/>
          </w:tcPr>
          <w:p>
            <w:r>
              <w:rPr>
                <w:rFonts w:ascii="Calibri" w:hAnsi="Calibri"/>
                <w:sz w:val="22"/>
              </w:rPr>
              <w:t>$5.531</w:t>
            </w:r>
          </w:p>
        </w:tc>
        <w:tc>
          <w:tcPr>
            <w:tcW w:type="dxa" w:w="1080"/>
          </w:tcPr>
          <w:p>
            <w:r>
              <w:rPr>
                <w:rFonts w:ascii="Calibri" w:hAnsi="Calibri"/>
                <w:sz w:val="22"/>
              </w:rPr>
              <w:t>$5.545</w:t>
            </w:r>
          </w:p>
        </w:tc>
        <w:tc>
          <w:tcPr>
            <w:tcW w:type="dxa" w:w="1080"/>
          </w:tcPr>
          <w:p>
            <w:r>
              <w:rPr>
                <w:rFonts w:ascii="Calibri" w:hAnsi="Calibri"/>
                <w:sz w:val="22"/>
              </w:rPr>
              <w:t>+0.3%</w:t>
            </w:r>
          </w:p>
        </w:tc>
        <w:tc>
          <w:tcPr>
            <w:tcW w:type="dxa" w:w="1080"/>
          </w:tcPr>
          <w:p>
            <w:r>
              <w:rPr>
                <w:rFonts w:ascii="Calibri" w:hAnsi="Calibri"/>
                <w:sz w:val="22"/>
              </w:rPr>
              <w:t>$5.35–$5.60</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+1.7% vs. midpoint ($5.475)</w:t>
            </w:r>
          </w:p>
        </w:tc>
      </w:tr>
      <w:tr>
        <w:tc>
          <w:tcPr>
            <w:tcW w:type="dxa" w:w="1080"/>
          </w:tcPr>
          <w:p>
            <w:r>
              <w:rPr>
                <w:rFonts w:ascii="Calibri" w:hAnsi="Calibri"/>
                <w:sz w:val="22"/>
              </w:rPr>
              <w:t>Adj. EBITDA Margin — FY 2026</w:t>
            </w:r>
          </w:p>
        </w:tc>
        <w:tc>
          <w:tcPr>
            <w:tcW w:type="dxa" w:w="1080"/>
          </w:tcPr>
          <w:p>
            <w:r>
              <w:rPr>
                <w:rFonts w:ascii="Calibri" w:hAnsi="Calibri"/>
                <w:sz w:val="22"/>
              </w:rPr>
              <w:t>22.95%</w:t>
            </w:r>
          </w:p>
        </w:tc>
        <w:tc>
          <w:tcPr>
            <w:tcW w:type="dxa" w:w="1080"/>
          </w:tcPr>
          <w:p>
            <w:r>
              <w:rPr>
                <w:rFonts w:ascii="Calibri" w:hAnsi="Calibri"/>
                <w:sz w:val="22"/>
              </w:rPr>
              <w:t>22.97%</w:t>
            </w:r>
          </w:p>
        </w:tc>
        <w:tc>
          <w:tcPr>
            <w:tcW w:type="dxa" w:w="1080"/>
          </w:tcPr>
          <w:p>
            <w:r>
              <w:rPr>
                <w:rFonts w:ascii="Calibri" w:hAnsi="Calibri"/>
                <w:sz w:val="22"/>
              </w:rPr>
              <w:t>+2 bps</w:t>
            </w:r>
          </w:p>
        </w:tc>
        <w:tc>
          <w:tcPr>
            <w:tcW w:type="dxa" w:w="1080"/>
          </w:tcPr>
          <w:p>
            <w:r>
              <w:rPr>
                <w:rFonts w:ascii="Calibri" w:hAnsi="Calibri"/>
                <w:sz w:val="22"/>
              </w:rPr>
              <w:t>22.9%–23.3%</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−13 bps vs. midpoint (23.1%)</w:t>
            </w:r>
          </w:p>
        </w:tc>
      </w:tr>
    </w:tbl>
    <w:p>
      <w:r>
        <w:rPr>
          <w:rFonts w:ascii="Calibri" w:hAnsi="Calibri"/>
          <w:i/>
          <w:color w:val="525866"/>
          <w:sz w:val="22"/>
        </w:rPr>
        <w:t>Estimates have been remarkably stable since the Q1 print, with Q2 and FY 2026 consensus moving less than 0.3% in either direction — a sign the Street is comfortable with management’s guidance framework and not pricing in incremental risk. The FY EPS consensus of $5.54 sitting near the top of the $5.35–$5.60 range implies the Street expects management to deliver toward the high end, consistent with XYL’s track record of beating. Source: Visible Alpha Consensus and Actuals Data.</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XYL has essentially flat-lined since the Q1 print (+1.9% vs. April 28 close of $117.91), meaningfully lagging the S&amp;P 500 (+3.9%) and PHO (+1.1%), with the underperformance driven almost entirely by </w:t>
      </w:r>
      <w:r>
        <w:rPr>
          <w:rFonts w:ascii="Calibri" w:hAnsi="Calibri"/>
          <w:b/>
          <w:color w:val="525866"/>
          <w:sz w:val="22"/>
        </w:rPr>
        <w:t>multiple compression</w:t>
      </w:r>
      <w:r>
        <w:rPr>
          <w:rFonts w:ascii="Calibri" w:hAnsi="Calibri"/>
          <w:color w:val="525866"/>
          <w:sz w:val="22"/>
        </w:rPr>
        <w:t xml:space="preserve"> (NTM EV/EBITDA contracted from ~16.4x to ~14.1x over 6 months) rather than estimate cuts — suggesting sentiment, not fundamentals, has been the headwind and a clean Q2 print could re-rate the stock.</w:t>
      </w:r>
    </w:p>
    <w:p>
      <w:r>
        <w:rPr>
          <w:rFonts w:ascii="Calibri" w:hAnsi="Calibri"/>
          <w:b/>
          <w:color w:val="525866"/>
          <w:sz w:val="22"/>
        </w:rPr>
        <w:t>Stock Performance Summary (Indexed to 100 at April 28, 2026 close of $117.91):</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Date</w:t>
            </w:r>
          </w:p>
        </w:tc>
        <w:tc>
          <w:tcPr>
            <w:tcW w:type="dxa" w:w="2160"/>
            <w:shd w:val="clear" w:color="auto" w:fill="3B4259"/>
          </w:tcPr>
          <w:p>
            <w:r>
              <w:rPr>
                <w:rFonts w:ascii="Calibri" w:hAnsi="Calibri"/>
                <w:b/>
                <w:color w:val="FFFFFF"/>
                <w:sz w:val="22"/>
              </w:rPr>
              <w:t>XYL (Indexed)</w:t>
            </w:r>
          </w:p>
        </w:tc>
        <w:tc>
          <w:tcPr>
            <w:tcW w:type="dxa" w:w="2160"/>
            <w:shd w:val="clear" w:color="auto" w:fill="3B4259"/>
          </w:tcPr>
          <w:p>
            <w:r>
              <w:rPr>
                <w:rFonts w:ascii="Calibri" w:hAnsi="Calibri"/>
                <w:b/>
                <w:color w:val="FFFFFF"/>
                <w:sz w:val="22"/>
              </w:rPr>
              <w:t>PHO (Indexed)</w:t>
            </w:r>
          </w:p>
        </w:tc>
        <w:tc>
          <w:tcPr>
            <w:tcW w:type="dxa" w:w="2160"/>
            <w:shd w:val="clear" w:color="auto" w:fill="3B4259"/>
          </w:tcPr>
          <w:p>
            <w:r>
              <w:rPr>
                <w:rFonts w:ascii="Calibri" w:hAnsi="Calibri"/>
                <w:b/>
                <w:color w:val="FFFFFF"/>
                <w:sz w:val="22"/>
              </w:rPr>
              <w:t>SPY (Indexed)</w:t>
            </w:r>
          </w:p>
        </w:tc>
      </w:tr>
      <w:tr>
        <w:tc>
          <w:tcPr>
            <w:tcW w:type="dxa" w:w="2160"/>
          </w:tcPr>
          <w:p>
            <w:r>
              <w:rPr>
                <w:rFonts w:ascii="Calibri" w:hAnsi="Calibri"/>
                <w:sz w:val="22"/>
              </w:rPr>
              <w:t>Apr 28, 2026 (Base)</w:t>
            </w:r>
          </w:p>
        </w:tc>
        <w:tc>
          <w:tcPr>
            <w:tcW w:type="dxa" w:w="2160"/>
          </w:tcPr>
          <w:p>
            <w:r>
              <w:rPr>
                <w:rFonts w:ascii="Calibri" w:hAnsi="Calibri"/>
                <w:sz w:val="22"/>
              </w:rPr>
              <w:t>100.0</w:t>
            </w:r>
          </w:p>
        </w:tc>
        <w:tc>
          <w:tcPr>
            <w:tcW w:type="dxa" w:w="2160"/>
          </w:tcPr>
          <w:p>
            <w:r>
              <w:rPr>
                <w:rFonts w:ascii="Calibri" w:hAnsi="Calibri"/>
                <w:sz w:val="22"/>
              </w:rPr>
              <w:t>100.0</w:t>
            </w:r>
          </w:p>
        </w:tc>
        <w:tc>
          <w:tcPr>
            <w:tcW w:type="dxa" w:w="2160"/>
          </w:tcPr>
          <w:p>
            <w:r>
              <w:rPr>
                <w:rFonts w:ascii="Calibri" w:hAnsi="Calibri"/>
                <w:sz w:val="22"/>
              </w:rPr>
              <w:t>100.0</w:t>
            </w:r>
          </w:p>
        </w:tc>
      </w:tr>
      <w:tr>
        <w:tc>
          <w:tcPr>
            <w:tcW w:type="dxa" w:w="2160"/>
          </w:tcPr>
          <w:p>
            <w:r>
              <w:rPr>
                <w:rFonts w:ascii="Calibri" w:hAnsi="Calibri"/>
                <w:sz w:val="22"/>
              </w:rPr>
              <w:t>May 13, 2026 (Trough)</w:t>
            </w:r>
          </w:p>
        </w:tc>
        <w:tc>
          <w:tcPr>
            <w:tcW w:type="dxa" w:w="2160"/>
          </w:tcPr>
          <w:p>
            <w:r>
              <w:rPr>
                <w:rFonts w:ascii="Calibri" w:hAnsi="Calibri"/>
                <w:sz w:val="22"/>
              </w:rPr>
              <w:t>92.5 (low: $109.01)</w:t>
            </w:r>
          </w:p>
        </w:tc>
        <w:tc>
          <w:tcPr>
            <w:tcW w:type="dxa" w:w="2160"/>
          </w:tcPr>
          <w:p>
            <w:r>
              <w:rPr>
                <w:rFonts w:ascii="Calibri" w:hAnsi="Calibri"/>
                <w:sz w:val="22"/>
              </w:rPr>
              <w:t>96.9</w:t>
            </w:r>
          </w:p>
        </w:tc>
        <w:tc>
          <w:tcPr>
            <w:tcW w:type="dxa" w:w="2160"/>
          </w:tcPr>
          <w:p>
            <w:r>
              <w:rPr>
                <w:rFonts w:ascii="Calibri" w:hAnsi="Calibri"/>
                <w:sz w:val="22"/>
              </w:rPr>
              <w:t>104.3</w:t>
            </w:r>
          </w:p>
        </w:tc>
      </w:tr>
      <w:tr>
        <w:tc>
          <w:tcPr>
            <w:tcW w:type="dxa" w:w="2160"/>
          </w:tcPr>
          <w:p>
            <w:r>
              <w:rPr>
                <w:rFonts w:ascii="Calibri" w:hAnsi="Calibri"/>
                <w:sz w:val="22"/>
              </w:rPr>
              <w:t>Jun 25, 2026 (Recovery)</w:t>
            </w:r>
          </w:p>
        </w:tc>
        <w:tc>
          <w:tcPr>
            <w:tcW w:type="dxa" w:w="2160"/>
          </w:tcPr>
          <w:p>
            <w:r>
              <w:rPr>
                <w:rFonts w:ascii="Calibri" w:hAnsi="Calibri"/>
                <w:sz w:val="22"/>
              </w:rPr>
              <w:t>99.2 ($117.00)</w:t>
            </w:r>
          </w:p>
        </w:tc>
        <w:tc>
          <w:tcPr>
            <w:tcW w:type="dxa" w:w="2160"/>
          </w:tcPr>
          <w:p>
            <w:r>
              <w:rPr>
                <w:rFonts w:ascii="Calibri" w:hAnsi="Calibri"/>
                <w:sz w:val="22"/>
              </w:rPr>
              <w:t>101.0</w:t>
            </w:r>
          </w:p>
        </w:tc>
        <w:tc>
          <w:tcPr>
            <w:tcW w:type="dxa" w:w="2160"/>
          </w:tcPr>
          <w:p>
            <w:r>
              <w:rPr>
                <w:rFonts w:ascii="Calibri" w:hAnsi="Calibri"/>
                <w:sz w:val="22"/>
              </w:rPr>
              <w:t>103.2</w:t>
            </w:r>
          </w:p>
        </w:tc>
      </w:tr>
      <w:tr>
        <w:tc>
          <w:tcPr>
            <w:tcW w:type="dxa" w:w="2160"/>
          </w:tcPr>
          <w:p>
            <w:r>
              <w:rPr>
                <w:rFonts w:ascii="Calibri" w:hAnsi="Calibri"/>
                <w:sz w:val="22"/>
              </w:rPr>
              <w:t>Jul 16, 2026 (Peak)</w:t>
            </w:r>
          </w:p>
        </w:tc>
        <w:tc>
          <w:tcPr>
            <w:tcW w:type="dxa" w:w="2160"/>
          </w:tcPr>
          <w:p>
            <w:r>
              <w:rPr>
                <w:rFonts w:ascii="Calibri" w:hAnsi="Calibri"/>
                <w:sz w:val="22"/>
              </w:rPr>
              <w:t>106.3 ($125.30)</w:t>
            </w:r>
          </w:p>
        </w:tc>
        <w:tc>
          <w:tcPr>
            <w:tcW w:type="dxa" w:w="2160"/>
          </w:tcPr>
          <w:p>
            <w:r>
              <w:rPr>
                <w:rFonts w:ascii="Calibri" w:hAnsi="Calibri"/>
                <w:sz w:val="22"/>
              </w:rPr>
              <w:t>102.1</w:t>
            </w:r>
          </w:p>
        </w:tc>
        <w:tc>
          <w:tcPr>
            <w:tcW w:type="dxa" w:w="2160"/>
          </w:tcPr>
          <w:p>
            <w:r>
              <w:rPr>
                <w:rFonts w:ascii="Calibri" w:hAnsi="Calibri"/>
                <w:sz w:val="22"/>
              </w:rPr>
              <w:t>105.5</w:t>
            </w:r>
          </w:p>
        </w:tc>
      </w:tr>
      <w:tr>
        <w:tc>
          <w:tcPr>
            <w:tcW w:type="dxa" w:w="2160"/>
          </w:tcPr>
          <w:p>
            <w:r>
              <w:rPr>
                <w:rFonts w:ascii="Calibri" w:hAnsi="Calibri"/>
                <w:sz w:val="22"/>
              </w:rPr>
              <w:t>Jul 27, 2026 (Latest)</w:t>
            </w:r>
          </w:p>
        </w:tc>
        <w:tc>
          <w:tcPr>
            <w:tcW w:type="dxa" w:w="2160"/>
          </w:tcPr>
          <w:p>
            <w:r>
              <w:rPr>
                <w:rFonts w:ascii="Calibri" w:hAnsi="Calibri"/>
                <w:sz w:val="22"/>
              </w:rPr>
              <w:t>101.9 ($120.16)</w:t>
            </w:r>
          </w:p>
        </w:tc>
        <w:tc>
          <w:tcPr>
            <w:tcW w:type="dxa" w:w="2160"/>
          </w:tcPr>
          <w:p>
            <w:r>
              <w:rPr>
                <w:rFonts w:ascii="Calibri" w:hAnsi="Calibri"/>
                <w:sz w:val="22"/>
              </w:rPr>
              <w:t>101.1</w:t>
            </w:r>
          </w:p>
        </w:tc>
        <w:tc>
          <w:tcPr>
            <w:tcW w:type="dxa" w:w="2160"/>
          </w:tcPr>
          <w:p>
            <w:r>
              <w:rPr>
                <w:rFonts w:ascii="Calibri" w:hAnsi="Calibri"/>
                <w:sz w:val="22"/>
              </w:rPr>
              <w:t>103.9</w:t>
            </w:r>
          </w:p>
        </w:tc>
      </w:tr>
    </w:tbl>
    <w:p>
      <w:r>
        <w:rPr>
          <w:rFonts w:ascii="Calibri" w:hAnsi="Calibri"/>
          <w:b/>
          <w:color w:val="525866"/>
          <w:sz w:val="22"/>
        </w:rPr>
        <w:t>Key Events Since Last Earnings:</w:t>
      </w:r>
    </w:p>
    <w:p>
      <w:pPr>
        <w:pStyle w:val="ListBullet"/>
        <w:ind w:left="360" w:hanging="360"/>
      </w:pPr>
      <w:r>
        <w:rPr>
          <w:rFonts w:ascii="Calibri" w:hAnsi="Calibri"/>
          <w:b/>
          <w:color w:val="525866"/>
          <w:sz w:val="22"/>
        </w:rPr>
        <w:t>Apr 28:</w:t>
      </w:r>
      <w:r>
        <w:rPr>
          <w:rFonts w:ascii="Calibri" w:hAnsi="Calibri"/>
          <w:color w:val="525866"/>
          <w:sz w:val="22"/>
        </w:rPr>
        <w:t xml:space="preserve"> Q1 2026 earnings beat on revenue and EPS; FY reported revenue guidance raised; EPS range held unchanged. Stock opened flat.</w:t>
      </w:r>
    </w:p>
    <w:p>
      <w:pPr>
        <w:pStyle w:val="ListBullet"/>
        <w:ind w:left="360" w:hanging="360"/>
      </w:pPr>
      <w:r>
        <w:rPr>
          <w:rFonts w:ascii="Calibri" w:hAnsi="Calibri"/>
          <w:b/>
          <w:color w:val="525866"/>
          <w:sz w:val="22"/>
        </w:rPr>
        <w:t>May 13:</w:t>
      </w:r>
      <w:r>
        <w:rPr>
          <w:rFonts w:ascii="Calibri" w:hAnsi="Calibri"/>
          <w:color w:val="525866"/>
          <w:sz w:val="22"/>
        </w:rPr>
        <w:t xml:space="preserve"> XYL hit its post-earnings trough at $109.01 (−7.5% from base), as broader industrial sector sold off on macro/tariff concerns.</w:t>
      </w:r>
    </w:p>
    <w:p>
      <w:pPr>
        <w:pStyle w:val="ListBullet"/>
        <w:ind w:left="360" w:hanging="360"/>
      </w:pPr>
      <w:r>
        <w:rPr>
          <w:rFonts w:ascii="Calibri" w:hAnsi="Calibri"/>
          <w:b/>
          <w:color w:val="525866"/>
          <w:sz w:val="22"/>
        </w:rPr>
        <w:t>May 18:</w:t>
      </w:r>
      <w:r>
        <w:rPr>
          <w:rFonts w:ascii="Calibri" w:hAnsi="Calibri"/>
          <w:color w:val="525866"/>
          <w:sz w:val="22"/>
        </w:rPr>
        <w:t xml:space="preserve"> Annual shareholder meeting — directors, executive pay, and stock plan approved (8-K filed).</w:t>
      </w:r>
    </w:p>
    <w:p>
      <w:pPr>
        <w:pStyle w:val="ListBullet"/>
        <w:ind w:left="360" w:hanging="360"/>
      </w:pPr>
      <w:r>
        <w:rPr>
          <w:rFonts w:ascii="Calibri" w:hAnsi="Calibri"/>
          <w:b/>
          <w:color w:val="525866"/>
          <w:sz w:val="22"/>
        </w:rPr>
        <w:t>Jun 25–Jul 2:</w:t>
      </w:r>
      <w:r>
        <w:rPr>
          <w:rFonts w:ascii="Calibri" w:hAnsi="Calibri"/>
          <w:color w:val="525866"/>
          <w:sz w:val="22"/>
        </w:rPr>
        <w:t xml:space="preserve"> Stock recovered to ~$117–$118 range as industrial earnings season began positively (URI, WAB, HON beats).</w:t>
      </w:r>
    </w:p>
    <w:p>
      <w:pPr>
        <w:pStyle w:val="ListBullet"/>
        <w:ind w:left="360" w:hanging="360"/>
      </w:pPr>
      <w:r>
        <w:rPr>
          <w:rFonts w:ascii="Calibri" w:hAnsi="Calibri"/>
          <w:b/>
          <w:color w:val="525866"/>
          <w:sz w:val="22"/>
        </w:rPr>
        <w:t>Jul 2:</w:t>
      </w:r>
      <w:r>
        <w:rPr>
          <w:rFonts w:ascii="Calibri" w:hAnsi="Calibri"/>
          <w:color w:val="525866"/>
          <w:sz w:val="22"/>
        </w:rPr>
        <w:t xml:space="preserve"> Xylem confirmed Q2 2026 earnings release date of July 28, 2026.</w:t>
      </w:r>
    </w:p>
    <w:p>
      <w:pPr>
        <w:pStyle w:val="ListBullet"/>
        <w:ind w:left="360" w:hanging="360"/>
      </w:pPr>
      <w:r>
        <w:rPr>
          <w:rFonts w:ascii="Calibri" w:hAnsi="Calibri"/>
          <w:b/>
          <w:color w:val="525866"/>
          <w:sz w:val="22"/>
        </w:rPr>
        <w:t>Jul 16:</w:t>
      </w:r>
      <w:r>
        <w:rPr>
          <w:rFonts w:ascii="Calibri" w:hAnsi="Calibri"/>
          <w:color w:val="525866"/>
          <w:sz w:val="22"/>
        </w:rPr>
        <w:t xml:space="preserve"> XYL reached post-earnings peak of $125.30 (+6.3% from base), lifted by strong industrial peer prints (GE Aerospace, 3M, Allegion).</w:t>
      </w:r>
    </w:p>
    <w:p>
      <w:pPr>
        <w:pStyle w:val="ListBullet"/>
        <w:ind w:left="360" w:hanging="360"/>
      </w:pPr>
      <w:r>
        <w:rPr>
          <w:rFonts w:ascii="Calibri" w:hAnsi="Calibri"/>
          <w:b/>
          <w:color w:val="525866"/>
          <w:sz w:val="22"/>
        </w:rPr>
        <w:t>Jul 21–23:</w:t>
      </w:r>
      <w:r>
        <w:rPr>
          <w:rFonts w:ascii="Calibri" w:hAnsi="Calibri"/>
          <w:color w:val="525866"/>
          <w:sz w:val="22"/>
        </w:rPr>
        <w:t xml:space="preserve"> Pullback to ~$116–$117 as broader market softened; XYL gave back some gains ahead of earnings.</w:t>
      </w:r>
    </w:p>
    <w:p>
      <w:r>
        <w:rPr>
          <w:rFonts w:ascii="Calibri" w:hAnsi="Calibri"/>
          <w:b/>
          <w:color w:val="525866"/>
          <w:sz w:val="22"/>
        </w:rPr>
        <w:t>Valuation Context:</w:t>
      </w:r>
      <w:r>
        <w:rPr>
          <w:rFonts w:ascii="Calibri" w:hAnsi="Calibri"/>
          <w:color w:val="525866"/>
          <w:sz w:val="22"/>
        </w:rPr>
        <w:t xml:space="preserve"> NTM EV/EBITDA of 14.1x is at the low end of XYL’s recent range (vs. 16.4x six months ago, a −14.5% multiple contraction), suggesting the stock is not expensive heading into the print. The 12-month price decline of −8.4% has been driven almost entirely by multiple compression (−16.0% on EV/EBITDA) rather than estimate cuts, implying a sentiment-driven discount that a strong Q2 could begin to reverse. Source: Stock Price Data; Visible Alpha Consensus and Actuals Data.</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 xml:space="preserve">The most important development since Q1 earnings is the </w:t>
      </w:r>
      <w:r>
        <w:rPr>
          <w:rFonts w:ascii="Calibri" w:hAnsi="Calibri"/>
          <w:b/>
          <w:color w:val="525866"/>
          <w:sz w:val="22"/>
        </w:rPr>
        <w:t>expected close of the MCS international metering divestiture at end of Q2</w:t>
      </w:r>
      <w:r>
        <w:rPr>
          <w:rFonts w:ascii="Calibri" w:hAnsi="Calibri"/>
          <w:color w:val="525866"/>
          <w:sz w:val="22"/>
        </w:rPr>
        <w:t xml:space="preserve"> — confirmation of this close would be a significant positive catalyst, unlocking the MCS margin step-up to &gt;25% EBITDA margin that management has guided. The broader industrial earnings season has been constructive, with peers reporting strong orders and margin expansion.</w:t>
      </w:r>
    </w:p>
    <w:p>
      <w:pPr>
        <w:pStyle w:val="ListBullet"/>
        <w:ind w:left="360" w:hanging="360"/>
      </w:pPr>
      <w:r>
        <w:rPr>
          <w:rFonts w:ascii="Calibri" w:hAnsi="Calibri"/>
          <w:b/>
          <w:color w:val="525866"/>
          <w:sz w:val="22"/>
        </w:rPr>
        <w:t>Jul 2, 2026 — Q2 Earnings Date Confirmed:</w:t>
      </w:r>
      <w:r>
        <w:rPr>
          <w:rFonts w:ascii="Calibri" w:hAnsi="Calibri"/>
          <w:color w:val="525866"/>
          <w:sz w:val="22"/>
        </w:rPr>
        <w:t xml:space="preserve"> Xylem announced Q2 2026 financial results will be released July 28, 2026. Implication: No pre-announcement or guidance update filed, consistent with results tracking in line with guidance.</w:t>
      </w:r>
    </w:p>
    <w:p>
      <w:pPr>
        <w:pStyle w:val="ListBullet"/>
        <w:ind w:left="360" w:hanging="360"/>
      </w:pPr>
      <w:r>
        <w:rPr>
          <w:rFonts w:ascii="Calibri" w:hAnsi="Calibri"/>
          <w:b/>
          <w:color w:val="525866"/>
          <w:sz w:val="22"/>
        </w:rPr>
        <w:t>May 18, 2026 — Annual Shareholder Meeting:</w:t>
      </w:r>
      <w:r>
        <w:rPr>
          <w:rFonts w:ascii="Calibri" w:hAnsi="Calibri"/>
          <w:color w:val="525866"/>
          <w:sz w:val="22"/>
        </w:rPr>
        <w:t xml:space="preserve"> Shareholders approved directors, executive pay, and stock plan (8-K filed). No material governance changes; routine approval.</w:t>
      </w:r>
    </w:p>
    <w:p>
      <w:pPr>
        <w:pStyle w:val="ListBullet"/>
        <w:ind w:left="360" w:hanging="360"/>
      </w:pPr>
      <w:r>
        <w:rPr>
          <w:rFonts w:ascii="Calibri" w:hAnsi="Calibri"/>
          <w:b/>
          <w:color w:val="525866"/>
          <w:sz w:val="22"/>
        </w:rPr>
        <w:t>Apr 28, 2026 — Q1 2026 Earnings &amp; Leadership Restructuring:</w:t>
      </w:r>
      <w:r>
        <w:rPr>
          <w:rFonts w:ascii="Calibri" w:hAnsi="Calibri"/>
          <w:color w:val="525866"/>
          <w:sz w:val="22"/>
        </w:rPr>
        <w:t xml:space="preserve"> Two executive leadership changes announced alongside Q1 results: one leader appointed to a newly focused </w:t>
      </w:r>
      <w:r>
        <w:rPr>
          <w:rFonts w:ascii="Calibri" w:hAnsi="Calibri"/>
          <w:b/>
          <w:color w:val="525866"/>
          <w:sz w:val="22"/>
        </w:rPr>
        <w:t>Chief Growth and Commercial Officer</w:t>
      </w:r>
      <w:r>
        <w:rPr>
          <w:rFonts w:ascii="Calibri" w:hAnsi="Calibri"/>
          <w:color w:val="525866"/>
          <w:sz w:val="22"/>
        </w:rPr>
        <w:t xml:space="preserve"> role, and another to a newly created </w:t>
      </w:r>
      <w:r>
        <w:rPr>
          <w:rFonts w:ascii="Calibri" w:hAnsi="Calibri"/>
          <w:b/>
          <w:color w:val="525866"/>
          <w:sz w:val="22"/>
        </w:rPr>
        <w:t>Chief Innovation and Products Officer</w:t>
      </w:r>
      <w:r>
        <w:rPr>
          <w:rFonts w:ascii="Calibri" w:hAnsi="Calibri"/>
          <w:color w:val="525866"/>
          <w:sz w:val="22"/>
        </w:rPr>
        <w:t xml:space="preserve"> role. Signals deliberate organizational shift toward Phase 2 growth engine following Phase 1 operational transformation.</w:t>
      </w:r>
    </w:p>
    <w:p>
      <w:pPr>
        <w:pStyle w:val="ListBullet"/>
        <w:ind w:left="360" w:hanging="360"/>
      </w:pPr>
      <w:r>
        <w:rPr>
          <w:rFonts w:ascii="Calibri" w:hAnsi="Calibri"/>
          <w:b/>
          <w:color w:val="525866"/>
          <w:sz w:val="22"/>
        </w:rPr>
        <w:t>Apr 28, 2026 — WSS Largest-Ever Order:</w:t>
      </w:r>
      <w:r>
        <w:rPr>
          <w:rFonts w:ascii="Calibri" w:hAnsi="Calibri"/>
          <w:color w:val="525866"/>
          <w:sz w:val="22"/>
        </w:rPr>
        <w:t xml:space="preserve"> Xylem’s Water Solutions &amp; Services segment booked its largest-ever outsourced water contract for a specialty chemical customer, with the majority of value in long-term services. Implication: Validates the WSS long-cycle growth model and provides durable revenue visibility.</w:t>
      </w:r>
    </w:p>
    <w:p>
      <w:pPr>
        <w:pStyle w:val="ListBullet"/>
        <w:ind w:left="360" w:hanging="360"/>
      </w:pPr>
      <w:r>
        <w:rPr>
          <w:rFonts w:ascii="Calibri" w:hAnsi="Calibri"/>
          <w:b/>
          <w:color w:val="525866"/>
          <w:sz w:val="22"/>
        </w:rPr>
        <w:t>Apr 28, 2026 — MCS Divestiture Delay:</w:t>
      </w:r>
      <w:r>
        <w:rPr>
          <w:rFonts w:ascii="Calibri" w:hAnsi="Calibri"/>
          <w:color w:val="525866"/>
          <w:sz w:val="22"/>
        </w:rPr>
        <w:t xml:space="preserve"> International metering divestiture delayed from Q1 to end of Q2 due to regulatory approval timing. Implication: Delayed the MCS margin step-up to &gt;25% EBITDA; Q2 print will confirm whether close occurred as guided.</w:t>
      </w:r>
    </w:p>
    <w:p>
      <w:pPr>
        <w:pStyle w:val="ListBullet"/>
        <w:ind w:left="360" w:hanging="360"/>
      </w:pPr>
      <w:r>
        <w:rPr>
          <w:rFonts w:ascii="Calibri" w:hAnsi="Calibri"/>
          <w:b/>
          <w:color w:val="525866"/>
          <w:sz w:val="22"/>
        </w:rPr>
        <w:t>Apr 28, 2026 — Data Center Orders Acceleration:</w:t>
      </w:r>
      <w:r>
        <w:rPr>
          <w:rFonts w:ascii="Calibri" w:hAnsi="Calibri"/>
          <w:color w:val="525866"/>
          <w:sz w:val="22"/>
        </w:rPr>
        <w:t xml:space="preserve"> Applied Water segment data center orders in Q1 2026 exceeded the full-year 2025 total, a notable acceleration. Implication: Secular tailwind from AI infrastructure buildout is materializing faster than expected.</w:t>
      </w:r>
    </w:p>
    <w:p>
      <w:pPr>
        <w:pStyle w:val="ListBullet"/>
        <w:ind w:left="360" w:hanging="360"/>
      </w:pPr>
      <w:r>
        <w:rPr>
          <w:rFonts w:ascii="Calibri" w:hAnsi="Calibri"/>
          <w:b/>
          <w:color w:val="525866"/>
          <w:sz w:val="22"/>
        </w:rPr>
        <w:t>Jul 14–23, 2026 — Strong Industrial Peer Earnings Season:</w:t>
      </w:r>
      <w:r>
        <w:rPr>
          <w:rFonts w:ascii="Calibri" w:hAnsi="Calibri"/>
          <w:color w:val="525866"/>
          <w:sz w:val="22"/>
        </w:rPr>
        <w:t xml:space="preserve"> Multiple industrial peers reported strong Q2 results with beats and raised guidance: </w:t>
      </w:r>
      <w:r>
        <w:rPr>
          <w:rFonts w:ascii="Calibri" w:hAnsi="Calibri"/>
          <w:b/>
          <w:color w:val="525866"/>
          <w:sz w:val="22"/>
        </w:rPr>
        <w:t>Honeywell Technologies</w:t>
      </w:r>
      <w:r>
        <w:rPr>
          <w:rFonts w:ascii="Calibri" w:hAnsi="Calibri"/>
          <w:color w:val="525866"/>
          <w:sz w:val="22"/>
        </w:rPr>
        <w:t xml:space="preserve"> (EPS $1.95 vs. $1.82 est., raised FY guidance), </w:t>
      </w:r>
      <w:r>
        <w:rPr>
          <w:rFonts w:ascii="Calibri" w:hAnsi="Calibri"/>
          <w:b/>
          <w:color w:val="525866"/>
          <w:sz w:val="22"/>
        </w:rPr>
        <w:t>Allegion</w:t>
      </w:r>
      <w:r>
        <w:rPr>
          <w:rFonts w:ascii="Calibri" w:hAnsi="Calibri"/>
          <w:color w:val="525866"/>
          <w:sz w:val="22"/>
        </w:rPr>
        <w:t xml:space="preserve"> (EPS $2.40 vs. $2.22 est., raised FY guidance, stock +13%), </w:t>
      </w:r>
      <w:r>
        <w:rPr>
          <w:rFonts w:ascii="Calibri" w:hAnsi="Calibri"/>
          <w:b/>
          <w:color w:val="525866"/>
          <w:sz w:val="22"/>
        </w:rPr>
        <w:t>3M</w:t>
      </w:r>
      <w:r>
        <w:rPr>
          <w:rFonts w:ascii="Calibri" w:hAnsi="Calibri"/>
          <w:color w:val="525866"/>
          <w:sz w:val="22"/>
        </w:rPr>
        <w:t xml:space="preserve"> (EPS $2.40 vs. $2.25 est., organic growth +5.4% vs. +3.2% est., raised FY guidance), </w:t>
      </w:r>
      <w:r>
        <w:rPr>
          <w:rFonts w:ascii="Calibri" w:hAnsi="Calibri"/>
          <w:b/>
          <w:color w:val="525866"/>
          <w:sz w:val="22"/>
        </w:rPr>
        <w:t>Dover</w:t>
      </w:r>
      <w:r>
        <w:rPr>
          <w:rFonts w:ascii="Calibri" w:hAnsi="Calibri"/>
          <w:color w:val="525866"/>
          <w:sz w:val="22"/>
        </w:rPr>
        <w:t xml:space="preserve"> (orders +16% YoY, book-to-bill 1.06x), </w:t>
      </w:r>
      <w:r>
        <w:rPr>
          <w:rFonts w:ascii="Calibri" w:hAnsi="Calibri"/>
          <w:b/>
          <w:color w:val="525866"/>
          <w:sz w:val="22"/>
        </w:rPr>
        <w:t>United Rentals</w:t>
      </w:r>
      <w:r>
        <w:rPr>
          <w:rFonts w:ascii="Calibri" w:hAnsi="Calibri"/>
          <w:color w:val="525866"/>
          <w:sz w:val="22"/>
        </w:rPr>
        <w:t xml:space="preserve"> (revenue $4.41B vs. $4.21B est., raised FY EBITDA guidance). Implication: Broad-based industrial demand strength is a positive read-through for XYL.</w:t>
      </w:r>
    </w:p>
    <w:p>
      <w:pPr>
        <w:pStyle w:val="ListBullet"/>
        <w:ind w:left="360" w:hanging="360"/>
      </w:pPr>
      <w:r>
        <w:rPr>
          <w:rFonts w:ascii="Calibri" w:hAnsi="Calibri"/>
          <w:b/>
          <w:color w:val="525866"/>
          <w:sz w:val="22"/>
        </w:rPr>
        <w:t>Jul 14, 2026 — Pentair (PNR) Negative Pre-Announcement:</w:t>
      </w:r>
      <w:r>
        <w:rPr>
          <w:rFonts w:ascii="Calibri" w:hAnsi="Calibri"/>
          <w:color w:val="525866"/>
          <w:sz w:val="22"/>
        </w:rPr>
        <w:t xml:space="preserve"> Pentair cut Q2 guidance sharply (sales −17% vs. +1% prior guide) due to pool channel inventory destocking; CFO resigned. Implication: </w:t>
      </w:r>
      <w:r>
        <w:rPr>
          <w:rFonts w:ascii="Calibri" w:hAnsi="Calibri"/>
          <w:b/>
          <w:color w:val="525866"/>
          <w:sz w:val="22"/>
        </w:rPr>
        <w:t>Limited read-through for XYL</w:t>
      </w:r>
      <w:r>
        <w:rPr>
          <w:rFonts w:ascii="Calibri" w:hAnsi="Calibri"/>
          <w:color w:val="525866"/>
          <w:sz w:val="22"/>
        </w:rPr>
        <w:t xml:space="preserve"> — Pentair’s Flow and Water Solutions segments (more comparable to XYL) performed in line with expectations; the pool segment is not an XYL exposure.</w:t>
      </w:r>
    </w:p>
    <w:p>
      <w:pPr>
        <w:pStyle w:val="ListBullet"/>
        <w:ind w:left="360" w:hanging="360"/>
      </w:pPr>
      <w:r>
        <w:rPr>
          <w:rFonts w:ascii="Calibri" w:hAnsi="Calibri"/>
          <w:b/>
          <w:color w:val="525866"/>
          <w:sz w:val="22"/>
        </w:rPr>
        <w:t>Jul 25, 2026 — New Tariff Regime (10%–12.5% on 60 Trading Partners):</w:t>
      </w:r>
      <w:r>
        <w:rPr>
          <w:rFonts w:ascii="Calibri" w:hAnsi="Calibri"/>
          <w:color w:val="525866"/>
          <w:sz w:val="22"/>
        </w:rPr>
        <w:t xml:space="preserve"> New tariffs took effect on 60 economies under Section 301, replacing the temporary 10% global tariff struck down by the Supreme Court. Implication: XYL management stated “no material impact” from tariffs at Q1 earnings; the new regime is broadly similar in scope and XYL’s price-cost positive posture should remain intact, though management commentary on Q2 call will be closely watched.</w:t>
      </w:r>
    </w:p>
    <w:p>
      <w:pPr>
        <w:pStyle w:val="ListBullet"/>
        <w:ind w:left="360" w:hanging="360"/>
      </w:pPr>
      <w:r>
        <w:rPr>
          <w:rFonts w:ascii="Calibri" w:hAnsi="Calibri"/>
          <w:b/>
          <w:color w:val="525866"/>
          <w:sz w:val="22"/>
        </w:rPr>
        <w:t>Jul 22, 2026 — Wabtec (WAB) Q2 Beat &amp; Guidance Raise:</w:t>
      </w:r>
      <w:r>
        <w:rPr>
          <w:rFonts w:ascii="Calibri" w:hAnsi="Calibri"/>
          <w:color w:val="525866"/>
          <w:sz w:val="22"/>
        </w:rPr>
        <w:t xml:space="preserve"> WAB reported EPS $2.76 vs. $2.61 est., revenue +17.5% YoY, operating margin +80 bps; raised FY guidance. Implication: Positive read-through for industrial execution and margin expansion thesis.</w:t>
      </w:r>
    </w:p>
    <w:p>
      <w:r>
        <w:br w:type="page"/>
      </w:r>
    </w:p>
    <w:p>
      <w:pPr>
        <w:pStyle w:val="Heading2"/>
      </w:pPr>
      <w:r>
        <w:rPr>
          <w:rFonts w:ascii="Calibri" w:hAnsi="Calibri"/>
          <w:b/>
          <w:color w:val="3B4259"/>
          <w:sz w:val="28"/>
        </w:rPr>
        <w:t>7. Peer Commentary &amp; Current-Quarter Read-Throughs</w:t>
      </w:r>
    </w:p>
    <w:p>
      <w:r>
        <w:rPr>
          <w:rFonts w:ascii="Calibri" w:hAnsi="Calibri"/>
          <w:b/>
          <w:color w:val="525866"/>
          <w:sz w:val="22"/>
        </w:rPr>
        <w:t xml:space="preserve">Key Takeaway: </w:t>
      </w:r>
      <w:r>
        <w:rPr>
          <w:rFonts w:ascii="Calibri" w:hAnsi="Calibri"/>
          <w:color w:val="525866"/>
          <w:sz w:val="22"/>
        </w:rPr>
        <w:t xml:space="preserve">Peer commentary from the last 60 days is broadly constructive for XYL’s Q2 2026 setup — industrial demand is broad-based and healthy, orders are accelerating, margins are expanding, and data center / infrastructure investment is a durable tailwind. </w:t>
      </w:r>
      <w:r>
        <w:rPr>
          <w:rFonts w:ascii="Calibri" w:hAnsi="Calibri"/>
          <w:b/>
          <w:color w:val="525866"/>
          <w:sz w:val="22"/>
        </w:rPr>
        <w:t>The one cautionary note is China</w:t>
      </w:r>
      <w:r>
        <w:rPr>
          <w:rFonts w:ascii="Calibri" w:hAnsi="Calibri"/>
          <w:color w:val="525866"/>
          <w:sz w:val="22"/>
        </w:rPr>
        <w:t>, where Graco flagged slower activity tied to prior-year pull-forward and softer automotive demand, consistent with XYL’s own guidance for China to be a ~2% H1 headwind.</w:t>
      </w:r>
    </w:p>
    <w:p>
      <w:r>
        <w:rPr>
          <w:rFonts w:ascii="Calibri" w:hAnsi="Calibri"/>
          <w:i/>
          <w:color w:val="525866"/>
          <w:sz w:val="22"/>
        </w:rPr>
        <w:t>Note: Only commentary from the last 60 days (May 28 – July 27, 2026) pertaining to Q2 2026 / the current reporting period is included below. Prior-quarter results commentary has been excluded.</w:t>
      </w:r>
    </w:p>
    <w:p>
      <w:pPr>
        <w:pStyle w:val="Heading3"/>
      </w:pPr>
      <w:r>
        <w:rPr>
          <w:rFonts w:ascii="Calibri" w:hAnsi="Calibri"/>
          <w:b/>
          <w:color w:val="3B4259"/>
          <w:sz w:val="24"/>
        </w:rPr>
        <w:t>Dover Corporation (DOV) — Q2 2026 Earnings Call, July 23, 2026</w:t>
      </w:r>
    </w:p>
    <w:p>
      <w:r>
        <w:rPr>
          <w:rFonts w:ascii="Calibri" w:hAnsi="Calibri"/>
          <w:b/>
          <w:color w:val="525866"/>
          <w:sz w:val="22"/>
        </w:rPr>
        <w:t xml:space="preserve">Relevance to XYL: </w:t>
      </w:r>
      <w:r>
        <w:rPr>
          <w:rFonts w:ascii="Calibri" w:hAnsi="Calibri"/>
          <w:color w:val="525866"/>
          <w:sz w:val="22"/>
        </w:rPr>
        <w:t>Direct — Dover is a diversified industrial with significant pumps, flow meters, and water/process solutions exposure.</w:t>
      </w:r>
    </w:p>
    <w:p>
      <w:pPr>
        <w:pStyle w:val="ListBullet"/>
        <w:ind w:left="360" w:hanging="360"/>
      </w:pPr>
      <w:r>
        <w:rPr>
          <w:rFonts w:ascii="Calibri" w:hAnsi="Calibri"/>
          <w:b/>
          <w:color w:val="525866"/>
          <w:sz w:val="22"/>
        </w:rPr>
        <w:t>Industrial Demand — Positive:</w:t>
      </w:r>
      <w:r>
        <w:rPr>
          <w:rFonts w:ascii="Calibri" w:hAnsi="Calibri"/>
          <w:color w:val="525866"/>
          <w:sz w:val="22"/>
        </w:rPr>
        <w:t xml:space="preserve"> “All-in revenue grew 7% or 5% organically, with all five segments posting positive organic growth” and “broad-based, constructive trading conditions across most of our other end markets.” Pumps &amp; Process Solutions grew with “strength in AI and energy infrastructure components” and “robust demand for bearings tied to steam and gas turbines.”</w:t>
      </w:r>
    </w:p>
    <w:p>
      <w:pPr>
        <w:pStyle w:val="ListBullet"/>
        <w:ind w:left="360" w:hanging="360"/>
      </w:pPr>
      <w:r>
        <w:rPr>
          <w:rFonts w:ascii="Calibri" w:hAnsi="Calibri"/>
          <w:b/>
          <w:color w:val="525866"/>
          <w:sz w:val="22"/>
        </w:rPr>
        <w:t>Orders — Strongly Positive:</w:t>
      </w:r>
      <w:r>
        <w:rPr>
          <w:rFonts w:ascii="Calibri" w:hAnsi="Calibri"/>
          <w:color w:val="525866"/>
          <w:sz w:val="22"/>
        </w:rPr>
        <w:t xml:space="preserve"> “Orders increased 16% year over year and outpaced shipments, with book-to-bill at 1.06.” Consolidated bookings up 15% with book-to-bill “well above one, providing further visibility and confidence in our outlook.” All five segments posted YoY order growth on a trailing 12-month basis.</w:t>
      </w:r>
    </w:p>
    <w:p>
      <w:pPr>
        <w:pStyle w:val="ListBullet"/>
        <w:ind w:left="360" w:hanging="360"/>
      </w:pPr>
      <w:r>
        <w:rPr>
          <w:rFonts w:ascii="Calibri" w:hAnsi="Calibri"/>
          <w:b/>
          <w:color w:val="525866"/>
          <w:sz w:val="22"/>
        </w:rPr>
        <w:t>Data Center / Infrastructure — Positive:</w:t>
      </w:r>
      <w:r>
        <w:rPr>
          <w:rFonts w:ascii="Calibri" w:hAnsi="Calibri"/>
          <w:color w:val="525866"/>
          <w:sz w:val="22"/>
        </w:rPr>
        <w:t xml:space="preserve"> “Demand tied to data center infrastructure remains exceptional, with customers securing capacity well ahead of need.” Heat exchangers for liquid cooling of data centers cited as a secular growth priority, with “elongated orders starting to move into 2027.”</w:t>
      </w:r>
    </w:p>
    <w:p>
      <w:pPr>
        <w:pStyle w:val="ListBullet"/>
        <w:ind w:left="360" w:hanging="360"/>
      </w:pPr>
      <w:r>
        <w:rPr>
          <w:rFonts w:ascii="Calibri" w:hAnsi="Calibri"/>
          <w:b/>
          <w:color w:val="525866"/>
          <w:sz w:val="22"/>
        </w:rPr>
        <w:t>Margins — Positive:</w:t>
      </w:r>
      <w:r>
        <w:rPr>
          <w:rFonts w:ascii="Calibri" w:hAnsi="Calibri"/>
          <w:color w:val="525866"/>
          <w:sz w:val="22"/>
        </w:rPr>
        <w:t xml:space="preserve"> “Adjusted EBITDA margin expanded 80 basis points to 25.9% as operational execution on incremental volume more than offset input cost inflation.” Incremental margins of 38% in Q2 vs. 25% in Q1.</w:t>
      </w:r>
    </w:p>
    <w:p>
      <w:pPr>
        <w:pStyle w:val="ListBullet"/>
        <w:ind w:left="360" w:hanging="360"/>
      </w:pPr>
      <w:r>
        <w:rPr>
          <w:rFonts w:ascii="Calibri" w:hAnsi="Calibri"/>
          <w:b/>
          <w:color w:val="525866"/>
          <w:sz w:val="22"/>
        </w:rPr>
        <w:t>China — Limited Read-Through:</w:t>
      </w:r>
      <w:r>
        <w:rPr>
          <w:rFonts w:ascii="Calibri" w:hAnsi="Calibri"/>
          <w:color w:val="525866"/>
          <w:sz w:val="22"/>
        </w:rPr>
        <w:t xml:space="preserve"> No specific China commentary in the transcript; European residential heat pumps saw “a welcome recovery.”</w:t>
      </w:r>
    </w:p>
    <w:p>
      <w:pPr>
        <w:pStyle w:val="ListBullet"/>
        <w:ind w:left="360" w:hanging="360"/>
      </w:pPr>
      <w:r>
        <w:rPr>
          <w:rFonts w:ascii="Calibri" w:hAnsi="Calibri"/>
          <w:b/>
          <w:color w:val="525866"/>
          <w:sz w:val="22"/>
        </w:rPr>
        <w:t>Tariffs — Neutral:</w:t>
      </w:r>
      <w:r>
        <w:rPr>
          <w:rFonts w:ascii="Calibri" w:hAnsi="Calibri"/>
          <w:color w:val="525866"/>
          <w:sz w:val="22"/>
        </w:rPr>
        <w:t xml:space="preserve"> Acknowledged “an evolving trade and tariff background” as a factor being managed closely, but no specific impact quantified.</w:t>
      </w:r>
    </w:p>
    <w:p>
      <w:pPr>
        <w:pStyle w:val="Heading3"/>
      </w:pPr>
      <w:r>
        <w:rPr>
          <w:rFonts w:ascii="Calibri" w:hAnsi="Calibri"/>
          <w:b/>
          <w:color w:val="3B4259"/>
          <w:sz w:val="24"/>
        </w:rPr>
        <w:t>Graco Inc. (GGG) — Q2 2026 Earnings Call, July 23, 2026</w:t>
      </w:r>
    </w:p>
    <w:p>
      <w:r>
        <w:rPr>
          <w:rFonts w:ascii="Calibri" w:hAnsi="Calibri"/>
          <w:b/>
          <w:color w:val="525866"/>
          <w:sz w:val="22"/>
        </w:rPr>
        <w:t xml:space="preserve">Relevance to XYL: </w:t>
      </w:r>
      <w:r>
        <w:rPr>
          <w:rFonts w:ascii="Calibri" w:hAnsi="Calibri"/>
          <w:color w:val="525866"/>
          <w:sz w:val="22"/>
        </w:rPr>
        <w:t>Direct — Graco is a fluid handling equipment manufacturer with significant industrial, contractor, and process market overlap with XYL’s Applied Water and Water Infrastructure segments.</w:t>
      </w:r>
    </w:p>
    <w:p>
      <w:pPr>
        <w:pStyle w:val="ListBullet"/>
        <w:ind w:left="360" w:hanging="360"/>
      </w:pPr>
      <w:r>
        <w:rPr>
          <w:rFonts w:ascii="Calibri" w:hAnsi="Calibri"/>
          <w:b/>
          <w:color w:val="525866"/>
          <w:sz w:val="22"/>
        </w:rPr>
        <w:t>Industrial Demand — Positive:</w:t>
      </w:r>
      <w:r>
        <w:rPr>
          <w:rFonts w:ascii="Calibri" w:hAnsi="Calibri"/>
          <w:color w:val="525866"/>
          <w:sz w:val="22"/>
        </w:rPr>
        <w:t xml:space="preserve"> Industrial segment sales increased 3%, reflecting “better activity across process, manufacturing, machinery, general industrial applications, semiconductor-related investment, and continued adoption of electrified product platforms.” Growth characterized as “pretty broad-based” with PMI “starting to turn positive.”</w:t>
      </w:r>
    </w:p>
    <w:p>
      <w:pPr>
        <w:pStyle w:val="ListBullet"/>
        <w:ind w:left="360" w:hanging="360"/>
      </w:pPr>
      <w:r>
        <w:rPr>
          <w:rFonts w:ascii="Calibri" w:hAnsi="Calibri"/>
          <w:b/>
          <w:color w:val="525866"/>
          <w:sz w:val="22"/>
        </w:rPr>
        <w:t>Infrastructure / Construction — Positive:</w:t>
      </w:r>
      <w:r>
        <w:rPr>
          <w:rFonts w:ascii="Calibri" w:hAnsi="Calibri"/>
          <w:color w:val="525866"/>
          <w:sz w:val="22"/>
        </w:rPr>
        <w:t xml:space="preserve"> Contractor segment benefited from “commercial construction, infrastructure and industrial project activity, including investments tied to data centers, energy and manufacturing.” Most recent 6-week booking average up 14% vs. prior year.</w:t>
      </w:r>
    </w:p>
    <w:p>
      <w:pPr>
        <w:pStyle w:val="ListBullet"/>
        <w:ind w:left="360" w:hanging="360"/>
      </w:pPr>
      <w:r>
        <w:rPr>
          <w:rFonts w:ascii="Calibri" w:hAnsi="Calibri"/>
          <w:b/>
          <w:color w:val="525866"/>
          <w:sz w:val="22"/>
        </w:rPr>
        <w:t>Orders — Strongly Positive:</w:t>
      </w:r>
      <w:r>
        <w:rPr>
          <w:rFonts w:ascii="Calibri" w:hAnsi="Calibri"/>
          <w:color w:val="525866"/>
          <w:sz w:val="22"/>
        </w:rPr>
        <w:t xml:space="preserve"> “Organic orders increased 5% during the quarter.” Backlog as of July 17 up $57M or 28% from the beginning of the year. Expansion markets bookings up 58% in Q2, with YTD bookings growth of 33%.</w:t>
      </w:r>
    </w:p>
    <w:p>
      <w:pPr>
        <w:pStyle w:val="ListBullet"/>
        <w:ind w:left="360" w:hanging="360"/>
      </w:pPr>
      <w:r>
        <w:rPr>
          <w:rFonts w:ascii="Calibri" w:hAnsi="Calibri"/>
          <w:b/>
          <w:color w:val="525866"/>
          <w:sz w:val="22"/>
        </w:rPr>
        <w:t>Pricing / Margins — Positive:</w:t>
      </w:r>
      <w:r>
        <w:rPr>
          <w:rFonts w:ascii="Calibri" w:hAnsi="Calibri"/>
          <w:color w:val="525866"/>
          <w:sz w:val="22"/>
        </w:rPr>
        <w:t xml:space="preserve"> Gross margin increased 130 bps YoY, driven by “price realization, improved manufacturing performance and the favorable impact of $9M in tariff refunds.” Operating margin expanded to 30% from 26% in the prior year quarter. “The price-cost stays positive.”</w:t>
      </w:r>
    </w:p>
    <w:p>
      <w:pPr>
        <w:pStyle w:val="ListBullet"/>
        <w:ind w:left="360" w:hanging="360"/>
      </w:pPr>
      <w:r>
        <w:rPr>
          <w:rFonts w:ascii="Calibri" w:hAnsi="Calibri"/>
          <w:b/>
          <w:color w:val="525866"/>
          <w:sz w:val="22"/>
        </w:rPr>
        <w:t>China — Cautionary Read-Through:</w:t>
      </w:r>
      <w:r>
        <w:rPr>
          <w:rFonts w:ascii="Calibri" w:hAnsi="Calibri"/>
          <w:color w:val="525866"/>
          <w:sz w:val="22"/>
        </w:rPr>
        <w:t xml:space="preserve"> “In Asia, activity was slower to start the year, with China specifically affected by prior year pull-forward activity ahead of tariff-related pricing actions and a softer automotive demand.” This is consistent with XYL’s own guidance for China to be a ~2% H1 headwind, and does not represent incremental negative news.</w:t>
      </w:r>
    </w:p>
    <w:p>
      <w:pPr>
        <w:pStyle w:val="ListBullet"/>
        <w:ind w:left="360" w:hanging="360"/>
      </w:pPr>
      <w:r>
        <w:rPr>
          <w:rFonts w:ascii="Calibri" w:hAnsi="Calibri"/>
          <w:b/>
          <w:color w:val="525866"/>
          <w:sz w:val="22"/>
        </w:rPr>
        <w:t>Tariff Refunds — Mildly Positive:</w:t>
      </w:r>
      <w:r>
        <w:rPr>
          <w:rFonts w:ascii="Calibri" w:hAnsi="Calibri"/>
          <w:color w:val="525866"/>
          <w:sz w:val="22"/>
        </w:rPr>
        <w:t xml:space="preserve"> Both Graco and Pentair received IEEPA tariff refunds in Q2 ($9M and $35M respectively). If XYL has similar exposure, this could represent a modest one-time benefit, though management has not guided for this.</w:t>
      </w:r>
    </w:p>
    <w:p>
      <w:pPr>
        <w:pStyle w:val="Heading3"/>
      </w:pPr>
      <w:r>
        <w:rPr>
          <w:rFonts w:ascii="Calibri" w:hAnsi="Calibri"/>
          <w:b/>
          <w:color w:val="3B4259"/>
          <w:sz w:val="24"/>
        </w:rPr>
        <w:t>Honeywell Technologies (HON) — Q2 2026 Earnings, July 23, 2026</w:t>
      </w:r>
    </w:p>
    <w:p>
      <w:r>
        <w:rPr>
          <w:rFonts w:ascii="Calibri" w:hAnsi="Calibri"/>
          <w:b/>
          <w:color w:val="525866"/>
          <w:sz w:val="22"/>
        </w:rPr>
        <w:t xml:space="preserve">Relevance to XYL: </w:t>
      </w:r>
      <w:r>
        <w:rPr>
          <w:rFonts w:ascii="Calibri" w:hAnsi="Calibri"/>
          <w:color w:val="525866"/>
          <w:sz w:val="22"/>
        </w:rPr>
        <w:t>Moderate — Honeywell Technologies (post-Aerospace separation) has building automation and industrial automation exposure that overlaps with XYL’s smart metering and digital water solutions.</w:t>
      </w:r>
    </w:p>
    <w:p>
      <w:pPr>
        <w:pStyle w:val="ListBullet"/>
        <w:ind w:left="360" w:hanging="360"/>
      </w:pPr>
      <w:r>
        <w:rPr>
          <w:rFonts w:ascii="Calibri" w:hAnsi="Calibri"/>
          <w:b/>
          <w:color w:val="525866"/>
          <w:sz w:val="22"/>
        </w:rPr>
        <w:t>Industrial / Building Automation — Positive:</w:t>
      </w:r>
      <w:r>
        <w:rPr>
          <w:rFonts w:ascii="Calibri" w:hAnsi="Calibri"/>
          <w:color w:val="525866"/>
          <w:sz w:val="22"/>
        </w:rPr>
        <w:t xml:space="preserve"> Adjusted Q2 EPS of $1.95 vs. $1.82 consensus; sales of $5.2B vs. $5.0B consensus. Building automation sales grew 9% on a comparable basis; industrial automation grew 4%.</w:t>
      </w:r>
    </w:p>
    <w:p>
      <w:pPr>
        <w:pStyle w:val="ListBullet"/>
        <w:ind w:left="360" w:hanging="360"/>
      </w:pPr>
      <w:r>
        <w:rPr>
          <w:rFonts w:ascii="Calibri" w:hAnsi="Calibri"/>
          <w:b/>
          <w:color w:val="525866"/>
          <w:sz w:val="22"/>
        </w:rPr>
        <w:t>Orders — Strongly Positive:</w:t>
      </w:r>
      <w:r>
        <w:rPr>
          <w:rFonts w:ascii="Calibri" w:hAnsi="Calibri"/>
          <w:color w:val="525866"/>
          <w:sz w:val="22"/>
        </w:rPr>
        <w:t xml:space="preserve"> Orders rose 16%, outpacing sales growth — a strong leading indicator for the industrial automation and building technology end markets that XYL’s MCS segment serves.</w:t>
      </w:r>
    </w:p>
    <w:p>
      <w:pPr>
        <w:pStyle w:val="ListBullet"/>
        <w:ind w:left="360" w:hanging="360"/>
      </w:pPr>
      <w:r>
        <w:rPr>
          <w:rFonts w:ascii="Calibri" w:hAnsi="Calibri"/>
          <w:b/>
          <w:color w:val="525866"/>
          <w:sz w:val="22"/>
        </w:rPr>
        <w:t>Guidance Raised:</w:t>
      </w:r>
      <w:r>
        <w:rPr>
          <w:rFonts w:ascii="Calibri" w:hAnsi="Calibri"/>
          <w:color w:val="525866"/>
          <w:sz w:val="22"/>
        </w:rPr>
        <w:t xml:space="preserve"> Full-year EPS guidance raised to ~$8.20 on sales of ~$19.9B. Implication: Management confidence in H2 demand is high, a positive read-through for XYL’s own H2 margin ramp thesis.</w:t>
      </w:r>
    </w:p>
    <w:p>
      <w:pPr>
        <w:pStyle w:val="Heading3"/>
      </w:pPr>
      <w:r>
        <w:rPr>
          <w:rFonts w:ascii="Calibri" w:hAnsi="Calibri"/>
          <w:b/>
          <w:color w:val="3B4259"/>
          <w:sz w:val="24"/>
        </w:rPr>
        <w:t>Allegion plc (ALLE) — Q2 2026 Earnings, July 23, 2026</w:t>
      </w:r>
    </w:p>
    <w:p>
      <w:r>
        <w:rPr>
          <w:rFonts w:ascii="Calibri" w:hAnsi="Calibri"/>
          <w:b/>
          <w:color w:val="525866"/>
          <w:sz w:val="22"/>
        </w:rPr>
        <w:t xml:space="preserve">Relevance to XYL: </w:t>
      </w:r>
      <w:r>
        <w:rPr>
          <w:rFonts w:ascii="Calibri" w:hAnsi="Calibri"/>
          <w:color w:val="525866"/>
          <w:sz w:val="22"/>
        </w:rPr>
        <w:t>Moderate — Allegion’s Americas business (physical security, electronic access) overlaps with XYL’s smart metering and digital infrastructure themes; both benefit from non-residential construction and infrastructure upgrade cycles.</w:t>
      </w:r>
    </w:p>
    <w:p>
      <w:pPr>
        <w:pStyle w:val="ListBullet"/>
        <w:ind w:left="360" w:hanging="360"/>
      </w:pPr>
      <w:r>
        <w:rPr>
          <w:rFonts w:ascii="Calibri" w:hAnsi="Calibri"/>
          <w:b/>
          <w:color w:val="525866"/>
          <w:sz w:val="22"/>
        </w:rPr>
        <w:t>Americas Demand — Strongly Positive:</w:t>
      </w:r>
      <w:r>
        <w:rPr>
          <w:rFonts w:ascii="Calibri" w:hAnsi="Calibri"/>
          <w:color w:val="525866"/>
          <w:sz w:val="22"/>
        </w:rPr>
        <w:t xml:space="preserve"> Adjusted EPS $2.40 vs. $2.22 consensus; revenue +13% to $1.15B vs. $1.12B consensus. CEO cited “strong organic growth and margin expansion in its Americas business” driven by demand for electronic security systems as customers upgrade from mechanical to contactless mobile credentials.</w:t>
      </w:r>
    </w:p>
    <w:p>
      <w:pPr>
        <w:pStyle w:val="ListBullet"/>
        <w:ind w:left="360" w:hanging="360"/>
      </w:pPr>
      <w:r>
        <w:rPr>
          <w:rFonts w:ascii="Calibri" w:hAnsi="Calibri"/>
          <w:b/>
          <w:color w:val="525866"/>
          <w:sz w:val="22"/>
        </w:rPr>
        <w:t>Guidance Raised:</w:t>
      </w:r>
      <w:r>
        <w:rPr>
          <w:rFonts w:ascii="Calibri" w:hAnsi="Calibri"/>
          <w:color w:val="525866"/>
          <w:sz w:val="22"/>
        </w:rPr>
        <w:t xml:space="preserve"> Full-year adjusted EPS raised to $8.85–$9.00 from $8.70–$8.90. Stock +13% on the day. Implication: Non-residential construction and infrastructure upgrade demand is robust, a positive read-through for XYL’s AMI and digital water solutions.</w:t>
      </w:r>
    </w:p>
    <w:p>
      <w:pPr>
        <w:pStyle w:val="Heading3"/>
      </w:pPr>
      <w:r>
        <w:rPr>
          <w:rFonts w:ascii="Calibri" w:hAnsi="Calibri"/>
          <w:b/>
          <w:color w:val="3B4259"/>
          <w:sz w:val="24"/>
        </w:rPr>
        <w:t>3M Company (MMM) — Q2 2026 Earnings, July 21, 2026</w:t>
      </w:r>
    </w:p>
    <w:p>
      <w:r>
        <w:rPr>
          <w:rFonts w:ascii="Calibri" w:hAnsi="Calibri"/>
          <w:b/>
          <w:color w:val="525866"/>
          <w:sz w:val="22"/>
        </w:rPr>
        <w:t xml:space="preserve">Relevance to XYL: </w:t>
      </w:r>
      <w:r>
        <w:rPr>
          <w:rFonts w:ascii="Calibri" w:hAnsi="Calibri"/>
          <w:color w:val="525866"/>
          <w:sz w:val="22"/>
        </w:rPr>
        <w:t>Moderate — 3M’s Safety &amp; Industrial and Transportation &amp; Electronics segments serve overlapping industrial end markets; 3M’s organic growth trajectory is a useful barometer for broad industrial demand.</w:t>
      </w:r>
    </w:p>
    <w:p>
      <w:pPr>
        <w:pStyle w:val="ListBullet"/>
        <w:ind w:left="360" w:hanging="360"/>
      </w:pPr>
      <w:r>
        <w:rPr>
          <w:rFonts w:ascii="Calibri" w:hAnsi="Calibri"/>
          <w:b/>
          <w:color w:val="525866"/>
          <w:sz w:val="22"/>
        </w:rPr>
        <w:t>Industrial Demand — Positive:</w:t>
      </w:r>
      <w:r>
        <w:rPr>
          <w:rFonts w:ascii="Calibri" w:hAnsi="Calibri"/>
          <w:color w:val="525866"/>
          <w:sz w:val="22"/>
        </w:rPr>
        <w:t xml:space="preserve"> Q2 EPS $2.40 vs. $2.25 consensus; organic sales growth of 5.4% vs. 3.2% consensus. Strength in Safety &amp; Industrial and Transportation &amp; Electronics. Operating margins of 24.9%, ~15 bps above expectations.</w:t>
      </w:r>
    </w:p>
    <w:p>
      <w:pPr>
        <w:pStyle w:val="ListBullet"/>
        <w:ind w:left="360" w:hanging="360"/>
      </w:pPr>
      <w:r>
        <w:rPr>
          <w:rFonts w:ascii="Calibri" w:hAnsi="Calibri"/>
          <w:b/>
          <w:color w:val="525866"/>
          <w:sz w:val="22"/>
        </w:rPr>
        <w:t>Guidance Raised:</w:t>
      </w:r>
      <w:r>
        <w:rPr>
          <w:rFonts w:ascii="Calibri" w:hAnsi="Calibri"/>
          <w:color w:val="525866"/>
          <w:sz w:val="22"/>
        </w:rPr>
        <w:t xml:space="preserve"> Full-year EPS raised to $8.80–$8.95 from $8.50–$8.70. Implication: Broad industrial demand is tracking above expectations, consistent with XYL’s constructive H2 outlook.</w:t>
      </w:r>
    </w:p>
    <w:p>
      <w:pPr>
        <w:pStyle w:val="Heading3"/>
      </w:pPr>
      <w:r>
        <w:rPr>
          <w:rFonts w:ascii="Calibri" w:hAnsi="Calibri"/>
          <w:b/>
          <w:color w:val="3B4259"/>
          <w:sz w:val="24"/>
        </w:rPr>
        <w:t>Pentair plc (PNR) — Q2 2026 Preliminary Results, July 14, 2026</w:t>
      </w:r>
    </w:p>
    <w:p>
      <w:r>
        <w:rPr>
          <w:rFonts w:ascii="Calibri" w:hAnsi="Calibri"/>
          <w:b/>
          <w:color w:val="525866"/>
          <w:sz w:val="22"/>
        </w:rPr>
        <w:t xml:space="preserve">Relevance to XYL: </w:t>
      </w:r>
      <w:r>
        <w:rPr>
          <w:rFonts w:ascii="Calibri" w:hAnsi="Calibri"/>
          <w:color w:val="525866"/>
          <w:sz w:val="22"/>
        </w:rPr>
        <w:t>Limited — Pentair’s Q2 miss was driven entirely by pool channel inventory destocking, which has no direct read-through to XYL’s utility, industrial, or municipal water end markets.</w:t>
      </w:r>
    </w:p>
    <w:p>
      <w:pPr>
        <w:pStyle w:val="ListBullet"/>
        <w:ind w:left="360" w:hanging="360"/>
      </w:pPr>
      <w:r>
        <w:rPr>
          <w:rFonts w:ascii="Calibri" w:hAnsi="Calibri"/>
          <w:b/>
          <w:color w:val="525866"/>
          <w:sz w:val="22"/>
        </w:rPr>
        <w:t>Pool Segment — No Read-Through:</w:t>
      </w:r>
      <w:r>
        <w:rPr>
          <w:rFonts w:ascii="Calibri" w:hAnsi="Calibri"/>
          <w:color w:val="525866"/>
          <w:sz w:val="22"/>
        </w:rPr>
        <w:t xml:space="preserve"> Q2 sales −17% vs. +1% prior guide, driven by “more pronounced inventory realignment with major channel partners than previously estimated.” Pool segment income impacted by ~$105M. CFO resigned.</w:t>
      </w:r>
    </w:p>
    <w:p>
      <w:pPr>
        <w:pStyle w:val="ListBullet"/>
        <w:ind w:left="360" w:hanging="360"/>
      </w:pPr>
      <w:r>
        <w:rPr>
          <w:rFonts w:ascii="Calibri" w:hAnsi="Calibri"/>
          <w:b/>
          <w:color w:val="525866"/>
          <w:sz w:val="22"/>
        </w:rPr>
        <w:t>Flow &amp; Water Solutions — Positive Read-Through:</w:t>
      </w:r>
      <w:r>
        <w:rPr>
          <w:rFonts w:ascii="Calibri" w:hAnsi="Calibri"/>
          <w:color w:val="525866"/>
          <w:sz w:val="22"/>
        </w:rPr>
        <w:t xml:space="preserve"> Critically, Pentair explicitly stated: “The company’s Flow and Water Solutions segments and corporate spending are expected to perform roughly in line with prior guidance for the second quarter and full year 2026.” These segments are more comparable to XYL’s core business and showed no deterioration.</w:t>
      </w:r>
    </w:p>
    <w:p>
      <w:pPr>
        <w:pStyle w:val="ListBullet"/>
        <w:ind w:left="360" w:hanging="360"/>
      </w:pPr>
      <w:r>
        <w:rPr>
          <w:rFonts w:ascii="Calibri" w:hAnsi="Calibri"/>
          <w:b/>
          <w:color w:val="525866"/>
          <w:sz w:val="22"/>
        </w:rPr>
        <w:t>Macro Commentary — Mild Caution:</w:t>
      </w:r>
      <w:r>
        <w:rPr>
          <w:rFonts w:ascii="Calibri" w:hAnsi="Calibri"/>
          <w:color w:val="525866"/>
          <w:sz w:val="22"/>
        </w:rPr>
        <w:t xml:space="preserve"> “Worsening business conditions, including higher interest rates and inflation” cited as contributing factors. This is a general macro observation, not specific to XYL’s end markets.</w:t>
      </w:r>
    </w:p>
    <w:p>
      <w:pPr>
        <w:pStyle w:val="Heading3"/>
      </w:pPr>
      <w:r>
        <w:rPr>
          <w:rFonts w:ascii="Calibri" w:hAnsi="Calibri"/>
          <w:b/>
          <w:color w:val="3B4259"/>
          <w:sz w:val="24"/>
        </w:rPr>
        <w:t>Peer Read-Through Summary Table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Peer</w:t>
            </w:r>
          </w:p>
        </w:tc>
        <w:tc>
          <w:tcPr>
            <w:tcW w:type="dxa" w:w="1728"/>
            <w:shd w:val="clear" w:color="auto" w:fill="3B4259"/>
          </w:tcPr>
          <w:p>
            <w:r>
              <w:rPr>
                <w:rFonts w:ascii="Calibri" w:hAnsi="Calibri"/>
                <w:b/>
                <w:color w:val="FFFFFF"/>
                <w:sz w:val="22"/>
              </w:rPr>
              <w:t>Report Date</w:t>
            </w:r>
          </w:p>
        </w:tc>
        <w:tc>
          <w:tcPr>
            <w:tcW w:type="dxa" w:w="1728"/>
            <w:shd w:val="clear" w:color="auto" w:fill="3B4259"/>
          </w:tcPr>
          <w:p>
            <w:r>
              <w:rPr>
                <w:rFonts w:ascii="Calibri" w:hAnsi="Calibri"/>
                <w:b/>
                <w:color w:val="FFFFFF"/>
                <w:sz w:val="22"/>
              </w:rPr>
              <w:t>Key Theme</w:t>
            </w:r>
          </w:p>
        </w:tc>
        <w:tc>
          <w:tcPr>
            <w:tcW w:type="dxa" w:w="1728"/>
            <w:shd w:val="clear" w:color="auto" w:fill="3B4259"/>
          </w:tcPr>
          <w:p>
            <w:r>
              <w:rPr>
                <w:rFonts w:ascii="Calibri" w:hAnsi="Calibri"/>
                <w:b/>
                <w:color w:val="FFFFFF"/>
                <w:sz w:val="22"/>
              </w:rPr>
              <w:t>Read-Through for XYL</w:t>
            </w:r>
          </w:p>
        </w:tc>
        <w:tc>
          <w:tcPr>
            <w:tcW w:type="dxa" w:w="1728"/>
            <w:shd w:val="clear" w:color="auto" w:fill="3B4259"/>
          </w:tcPr>
          <w:p>
            <w:r>
              <w:rPr>
                <w:rFonts w:ascii="Calibri" w:hAnsi="Calibri"/>
                <w:b/>
                <w:color w:val="FFFFFF"/>
                <w:sz w:val="22"/>
              </w:rPr>
              <w:t>Relevance</w:t>
            </w:r>
          </w:p>
        </w:tc>
      </w:tr>
      <w:tr>
        <w:tc>
          <w:tcPr>
            <w:tcW w:type="dxa" w:w="1728"/>
          </w:tcPr>
          <w:p>
            <w:r>
              <w:rPr>
                <w:rFonts w:ascii="Calibri" w:hAnsi="Calibri"/>
                <w:sz w:val="22"/>
              </w:rPr>
              <w:t>Dover (DOV)</w:t>
            </w:r>
          </w:p>
        </w:tc>
        <w:tc>
          <w:tcPr>
            <w:tcW w:type="dxa" w:w="1728"/>
          </w:tcPr>
          <w:p>
            <w:r>
              <w:rPr>
                <w:rFonts w:ascii="Calibri" w:hAnsi="Calibri"/>
                <w:sz w:val="22"/>
              </w:rPr>
              <w:t>Jul 23, 2026</w:t>
            </w:r>
          </w:p>
        </w:tc>
        <w:tc>
          <w:tcPr>
            <w:tcW w:type="dxa" w:w="1728"/>
          </w:tcPr>
          <w:p>
            <w:r>
              <w:rPr>
                <w:rFonts w:ascii="Calibri" w:hAnsi="Calibri"/>
                <w:sz w:val="22"/>
              </w:rPr>
              <w:t>Orders +16% YoY, B2B 1.06x; pumps &amp; flow meters strong; data center demand exceptional</w:t>
            </w:r>
          </w:p>
        </w:tc>
        <w:tc>
          <w:tcPr>
            <w:tcW w:type="dxa" w:w="1728"/>
          </w:tcPr>
          <w:p>
            <w:r>
              <w:rPr>
                <w:rFonts w:ascii="Calibri" w:hAnsi="Calibri"/>
                <w:b/>
                <w:color w:val="30A46C"/>
                <w:sz w:val="22"/>
              </w:rPr>
              <w:t>Positive</w:t>
            </w:r>
          </w:p>
        </w:tc>
        <w:tc>
          <w:tcPr>
            <w:tcW w:type="dxa" w:w="1728"/>
          </w:tcPr>
          <w:p>
            <w:r>
              <w:rPr>
                <w:rFonts w:ascii="Calibri" w:hAnsi="Calibri"/>
                <w:sz w:val="22"/>
              </w:rPr>
              <w:t>Direct</w:t>
            </w:r>
          </w:p>
        </w:tc>
      </w:tr>
      <w:tr>
        <w:tc>
          <w:tcPr>
            <w:tcW w:type="dxa" w:w="1728"/>
          </w:tcPr>
          <w:p>
            <w:r>
              <w:rPr>
                <w:rFonts w:ascii="Calibri" w:hAnsi="Calibri"/>
                <w:sz w:val="22"/>
              </w:rPr>
              <w:t>Graco (GGG)</w:t>
            </w:r>
          </w:p>
        </w:tc>
        <w:tc>
          <w:tcPr>
            <w:tcW w:type="dxa" w:w="1728"/>
          </w:tcPr>
          <w:p>
            <w:r>
              <w:rPr>
                <w:rFonts w:ascii="Calibri" w:hAnsi="Calibri"/>
                <w:sz w:val="22"/>
              </w:rPr>
              <w:t>Jul 23, 2026</w:t>
            </w:r>
          </w:p>
        </w:tc>
        <w:tc>
          <w:tcPr>
            <w:tcW w:type="dxa" w:w="1728"/>
          </w:tcPr>
          <w:p>
            <w:r>
              <w:rPr>
                <w:rFonts w:ascii="Calibri" w:hAnsi="Calibri"/>
                <w:sz w:val="22"/>
              </w:rPr>
              <w:t>Organic orders +5%; backlog +28% YTD; price-cost positive; China softer on pull-forward</w:t>
            </w:r>
          </w:p>
        </w:tc>
        <w:tc>
          <w:tcPr>
            <w:tcW w:type="dxa" w:w="1728"/>
          </w:tcPr>
          <w:p>
            <w:r>
              <w:rPr>
                <w:rFonts w:ascii="Calibri" w:hAnsi="Calibri"/>
                <w:b/>
                <w:color w:val="30A46C"/>
                <w:sz w:val="22"/>
              </w:rPr>
              <w:t>Positive (China cautionary)</w:t>
            </w:r>
          </w:p>
        </w:tc>
        <w:tc>
          <w:tcPr>
            <w:tcW w:type="dxa" w:w="1728"/>
          </w:tcPr>
          <w:p>
            <w:r>
              <w:rPr>
                <w:rFonts w:ascii="Calibri" w:hAnsi="Calibri"/>
                <w:sz w:val="22"/>
              </w:rPr>
              <w:t>Direct</w:t>
            </w:r>
          </w:p>
        </w:tc>
      </w:tr>
      <w:tr>
        <w:tc>
          <w:tcPr>
            <w:tcW w:type="dxa" w:w="1728"/>
          </w:tcPr>
          <w:p>
            <w:r>
              <w:rPr>
                <w:rFonts w:ascii="Calibri" w:hAnsi="Calibri"/>
                <w:sz w:val="22"/>
              </w:rPr>
              <w:t>Honeywell (HON)</w:t>
            </w:r>
          </w:p>
        </w:tc>
        <w:tc>
          <w:tcPr>
            <w:tcW w:type="dxa" w:w="1728"/>
          </w:tcPr>
          <w:p>
            <w:r>
              <w:rPr>
                <w:rFonts w:ascii="Calibri" w:hAnsi="Calibri"/>
                <w:sz w:val="22"/>
              </w:rPr>
              <w:t>Jul 23, 2026</w:t>
            </w:r>
          </w:p>
        </w:tc>
        <w:tc>
          <w:tcPr>
            <w:tcW w:type="dxa" w:w="1728"/>
          </w:tcPr>
          <w:p>
            <w:r>
              <w:rPr>
                <w:rFonts w:ascii="Calibri" w:hAnsi="Calibri"/>
                <w:sz w:val="22"/>
              </w:rPr>
              <w:t>Orders +16%; building/industrial automation strong; FY guidance raised</w:t>
            </w:r>
          </w:p>
        </w:tc>
        <w:tc>
          <w:tcPr>
            <w:tcW w:type="dxa" w:w="1728"/>
          </w:tcPr>
          <w:p>
            <w:r>
              <w:rPr>
                <w:rFonts w:ascii="Calibri" w:hAnsi="Calibri"/>
                <w:b/>
                <w:color w:val="30A46C"/>
                <w:sz w:val="22"/>
              </w:rPr>
              <w:t>Positive</w:t>
            </w:r>
          </w:p>
        </w:tc>
        <w:tc>
          <w:tcPr>
            <w:tcW w:type="dxa" w:w="1728"/>
          </w:tcPr>
          <w:p>
            <w:r>
              <w:rPr>
                <w:rFonts w:ascii="Calibri" w:hAnsi="Calibri"/>
                <w:sz w:val="22"/>
              </w:rPr>
              <w:t>Moderate</w:t>
            </w:r>
          </w:p>
        </w:tc>
      </w:tr>
      <w:tr>
        <w:tc>
          <w:tcPr>
            <w:tcW w:type="dxa" w:w="1728"/>
          </w:tcPr>
          <w:p>
            <w:r>
              <w:rPr>
                <w:rFonts w:ascii="Calibri" w:hAnsi="Calibri"/>
                <w:sz w:val="22"/>
              </w:rPr>
              <w:t>Allegion (ALLE)</w:t>
            </w:r>
          </w:p>
        </w:tc>
        <w:tc>
          <w:tcPr>
            <w:tcW w:type="dxa" w:w="1728"/>
          </w:tcPr>
          <w:p>
            <w:r>
              <w:rPr>
                <w:rFonts w:ascii="Calibri" w:hAnsi="Calibri"/>
                <w:sz w:val="22"/>
              </w:rPr>
              <w:t>Jul 23, 2026</w:t>
            </w:r>
          </w:p>
        </w:tc>
        <w:tc>
          <w:tcPr>
            <w:tcW w:type="dxa" w:w="1728"/>
          </w:tcPr>
          <w:p>
            <w:r>
              <w:rPr>
                <w:rFonts w:ascii="Calibri" w:hAnsi="Calibri"/>
                <w:sz w:val="22"/>
              </w:rPr>
              <w:t>Americas organic growth strong; electronic upgrade cycle accelerating; FY guidance raised</w:t>
            </w:r>
          </w:p>
        </w:tc>
        <w:tc>
          <w:tcPr>
            <w:tcW w:type="dxa" w:w="1728"/>
          </w:tcPr>
          <w:p>
            <w:r>
              <w:rPr>
                <w:rFonts w:ascii="Calibri" w:hAnsi="Calibri"/>
                <w:b/>
                <w:color w:val="30A46C"/>
                <w:sz w:val="22"/>
              </w:rPr>
              <w:t>Positive</w:t>
            </w:r>
          </w:p>
        </w:tc>
        <w:tc>
          <w:tcPr>
            <w:tcW w:type="dxa" w:w="1728"/>
          </w:tcPr>
          <w:p>
            <w:r>
              <w:rPr>
                <w:rFonts w:ascii="Calibri" w:hAnsi="Calibri"/>
                <w:sz w:val="22"/>
              </w:rPr>
              <w:t>Moderate</w:t>
            </w:r>
          </w:p>
        </w:tc>
      </w:tr>
      <w:tr>
        <w:tc>
          <w:tcPr>
            <w:tcW w:type="dxa" w:w="1728"/>
          </w:tcPr>
          <w:p>
            <w:r>
              <w:rPr>
                <w:rFonts w:ascii="Calibri" w:hAnsi="Calibri"/>
                <w:sz w:val="22"/>
              </w:rPr>
              <w:t>3M (MMM)</w:t>
            </w:r>
          </w:p>
        </w:tc>
        <w:tc>
          <w:tcPr>
            <w:tcW w:type="dxa" w:w="1728"/>
          </w:tcPr>
          <w:p>
            <w:r>
              <w:rPr>
                <w:rFonts w:ascii="Calibri" w:hAnsi="Calibri"/>
                <w:sz w:val="22"/>
              </w:rPr>
              <w:t>Jul 21, 2026</w:t>
            </w:r>
          </w:p>
        </w:tc>
        <w:tc>
          <w:tcPr>
            <w:tcW w:type="dxa" w:w="1728"/>
          </w:tcPr>
          <w:p>
            <w:r>
              <w:rPr>
                <w:rFonts w:ascii="Calibri" w:hAnsi="Calibri"/>
                <w:sz w:val="22"/>
              </w:rPr>
              <w:t>Organic growth +5.4% vs. +3.2% est.; Safety &amp; Industrial strong; FY guidance raised</w:t>
            </w:r>
          </w:p>
        </w:tc>
        <w:tc>
          <w:tcPr>
            <w:tcW w:type="dxa" w:w="1728"/>
          </w:tcPr>
          <w:p>
            <w:r>
              <w:rPr>
                <w:rFonts w:ascii="Calibri" w:hAnsi="Calibri"/>
                <w:b/>
                <w:color w:val="30A46C"/>
                <w:sz w:val="22"/>
              </w:rPr>
              <w:t>Positive</w:t>
            </w:r>
          </w:p>
        </w:tc>
        <w:tc>
          <w:tcPr>
            <w:tcW w:type="dxa" w:w="1728"/>
          </w:tcPr>
          <w:p>
            <w:r>
              <w:rPr>
                <w:rFonts w:ascii="Calibri" w:hAnsi="Calibri"/>
                <w:sz w:val="22"/>
              </w:rPr>
              <w:t>Moderate</w:t>
            </w:r>
          </w:p>
        </w:tc>
      </w:tr>
      <w:tr>
        <w:tc>
          <w:tcPr>
            <w:tcW w:type="dxa" w:w="1728"/>
          </w:tcPr>
          <w:p>
            <w:r>
              <w:rPr>
                <w:rFonts w:ascii="Calibri" w:hAnsi="Calibri"/>
                <w:sz w:val="22"/>
              </w:rPr>
              <w:t>Pentair (PNR)</w:t>
            </w:r>
          </w:p>
        </w:tc>
        <w:tc>
          <w:tcPr>
            <w:tcW w:type="dxa" w:w="1728"/>
          </w:tcPr>
          <w:p>
            <w:r>
              <w:rPr>
                <w:rFonts w:ascii="Calibri" w:hAnsi="Calibri"/>
                <w:sz w:val="22"/>
              </w:rPr>
              <w:t>Jul 14, 2026</w:t>
            </w:r>
          </w:p>
        </w:tc>
        <w:tc>
          <w:tcPr>
            <w:tcW w:type="dxa" w:w="1728"/>
          </w:tcPr>
          <w:p>
            <w:r>
              <w:rPr>
                <w:rFonts w:ascii="Calibri" w:hAnsi="Calibri"/>
                <w:sz w:val="22"/>
              </w:rPr>
              <w:t>Pool channel destocking −17%; Flow &amp; Water Solutions in line; CFO resigned</w:t>
            </w:r>
          </w:p>
        </w:tc>
        <w:tc>
          <w:tcPr>
            <w:tcW w:type="dxa" w:w="1728"/>
          </w:tcPr>
          <w:p>
            <w:r>
              <w:rPr>
                <w:rFonts w:ascii="Calibri" w:hAnsi="Calibri"/>
                <w:b/>
                <w:color w:val="002FA7"/>
                <w:sz w:val="22"/>
              </w:rPr>
              <w:t>Limited / Neutral</w:t>
            </w:r>
          </w:p>
        </w:tc>
        <w:tc>
          <w:tcPr>
            <w:tcW w:type="dxa" w:w="1728"/>
          </w:tcPr>
          <w:p>
            <w:r>
              <w:rPr>
                <w:rFonts w:ascii="Calibri" w:hAnsi="Calibri"/>
                <w:sz w:val="22"/>
              </w:rPr>
              <w:t>Limited (pool not XYL exposure)</w:t>
            </w:r>
          </w:p>
        </w:tc>
      </w:tr>
    </w:tbl>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Insider activity since the Q1 earnings print is minimal and not directionally concerning — one small open-market sale by the SVP/CAO (routine in size) and one open-market purchase by a director (a mild positive signal). No clustered selling, no large discretionary dispositions, and no 10b5-1 plan initiations. The absence of insider selling ahead of earnings is a neutral-to-positive signal.</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Value</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Geri-Michelle McShane</w:t>
            </w:r>
          </w:p>
        </w:tc>
        <w:tc>
          <w:tcPr>
            <w:tcW w:type="dxa" w:w="1440"/>
          </w:tcPr>
          <w:p>
            <w:r>
              <w:rPr>
                <w:rFonts w:ascii="Calibri" w:hAnsi="Calibri"/>
                <w:sz w:val="22"/>
              </w:rPr>
              <w:t>SVP, Chief Accounting Officer</w:t>
            </w:r>
          </w:p>
        </w:tc>
        <w:tc>
          <w:tcPr>
            <w:tcW w:type="dxa" w:w="1440"/>
          </w:tcPr>
          <w:p>
            <w:r>
              <w:rPr>
                <w:rFonts w:ascii="Calibri" w:hAnsi="Calibri"/>
                <w:sz w:val="22"/>
              </w:rPr>
              <w:t>Open Market Sale</w:t>
            </w:r>
          </w:p>
        </w:tc>
        <w:tc>
          <w:tcPr>
            <w:tcW w:type="dxa" w:w="1440"/>
          </w:tcPr>
          <w:p>
            <w:r>
              <w:rPr>
                <w:rFonts w:ascii="Calibri" w:hAnsi="Calibri"/>
                <w:sz w:val="22"/>
              </w:rPr>
              <w:t>~$494K (4,269 shares @ ~$116)</w:t>
            </w:r>
          </w:p>
        </w:tc>
        <w:tc>
          <w:tcPr>
            <w:tcW w:type="dxa" w:w="1440"/>
          </w:tcPr>
          <w:p>
            <w:r>
              <w:rPr>
                <w:rFonts w:ascii="Calibri" w:hAnsi="Calibri"/>
                <w:sz w:val="22"/>
              </w:rPr>
              <w:t>May 7, 2026</w:t>
            </w:r>
          </w:p>
        </w:tc>
        <w:tc>
          <w:tcPr>
            <w:tcW w:type="dxa" w:w="1440"/>
          </w:tcPr>
          <w:p>
            <w:r>
              <w:rPr>
                <w:rFonts w:ascii="Calibri" w:hAnsi="Calibri"/>
                <w:sz w:val="22"/>
              </w:rPr>
              <w:t>Discretionary sale; reduced holdings to 3,605 shares. Routine in size for a CAO-level executive; no 10b5-1 plan flagged.</w:t>
            </w:r>
          </w:p>
        </w:tc>
      </w:tr>
      <w:tr>
        <w:tc>
          <w:tcPr>
            <w:tcW w:type="dxa" w:w="1440"/>
          </w:tcPr>
          <w:p>
            <w:r>
              <w:rPr>
                <w:rFonts w:ascii="Calibri" w:hAnsi="Calibri"/>
                <w:sz w:val="22"/>
              </w:rPr>
              <w:t>Jerome A. Peribere</w:t>
            </w:r>
          </w:p>
        </w:tc>
        <w:tc>
          <w:tcPr>
            <w:tcW w:type="dxa" w:w="1440"/>
          </w:tcPr>
          <w:p>
            <w:r>
              <w:rPr>
                <w:rFonts w:ascii="Calibri" w:hAnsi="Calibri"/>
                <w:sz w:val="22"/>
              </w:rPr>
              <w:t>Director</w:t>
            </w:r>
          </w:p>
        </w:tc>
        <w:tc>
          <w:tcPr>
            <w:tcW w:type="dxa" w:w="1440"/>
          </w:tcPr>
          <w:p>
            <w:r>
              <w:rPr>
                <w:rFonts w:ascii="Calibri" w:hAnsi="Calibri"/>
                <w:sz w:val="22"/>
              </w:rPr>
              <w:t>Open Market Buy</w:t>
            </w:r>
          </w:p>
        </w:tc>
        <w:tc>
          <w:tcPr>
            <w:tcW w:type="dxa" w:w="1440"/>
          </w:tcPr>
          <w:p>
            <w:r>
              <w:rPr>
                <w:rFonts w:ascii="Calibri" w:hAnsi="Calibri"/>
                <w:sz w:val="22"/>
              </w:rPr>
              <w:t>~$140K (1,210 shares @ ~$116)</w:t>
            </w:r>
          </w:p>
        </w:tc>
        <w:tc>
          <w:tcPr>
            <w:tcW w:type="dxa" w:w="1440"/>
          </w:tcPr>
          <w:p>
            <w:r>
              <w:rPr>
                <w:rFonts w:ascii="Calibri" w:hAnsi="Calibri"/>
                <w:sz w:val="22"/>
              </w:rPr>
              <w:t>May 4, 2026</w:t>
            </w:r>
          </w:p>
        </w:tc>
        <w:tc>
          <w:tcPr>
            <w:tcW w:type="dxa" w:w="1440"/>
          </w:tcPr>
          <w:p>
            <w:r>
              <w:rPr>
                <w:rFonts w:ascii="Calibri" w:hAnsi="Calibri"/>
                <w:sz w:val="22"/>
              </w:rPr>
              <w:t>Purchased via revocable trust; adds to existing 27,209-share position. Mild positive signal — director buying near post-earnings lows.</w:t>
            </w:r>
          </w:p>
        </w:tc>
      </w:tr>
    </w:tbl>
    <w:p>
      <w:r>
        <w:rPr>
          <w:rFonts w:ascii="Calibri" w:hAnsi="Calibri"/>
          <w:i/>
          <w:color w:val="525866"/>
          <w:sz w:val="22"/>
        </w:rPr>
        <w:t>Source: SEC Form 4 Filings Database (filing date window: April 28 – July 27, 2026). Only open-market buys (code P) and sells (code S) included. No 10b5-1 plan initiations were filed in the period.</w:t>
      </w:r>
    </w:p>
    <w:p>
      <w:r>
        <w:br w:type="page"/>
      </w:r>
    </w:p>
    <w:p>
      <w:pPr>
        <w:pStyle w:val="Heading2"/>
      </w:pPr>
      <w:r>
        <w:rPr>
          <w:rFonts w:ascii="Calibri" w:hAnsi="Calibri"/>
          <w:b/>
          <w:color w:val="3B4259"/>
          <w:sz w:val="28"/>
        </w:rPr>
        <w:t>Appendix: Key Metrics Reference</w:t>
      </w:r>
    </w:p>
    <w:tbl>
      <w:tblPr>
        <w:tblStyle w:val="TableGrid"/>
        <w:tblW w:type="auto" w:w="0"/>
        <w:tblLook w:firstColumn="1" w:firstRow="1" w:lastColumn="0" w:lastRow="0" w:noHBand="0" w:noVBand="1" w:val="04A0"/>
      </w:tblPr>
      <w:tblGrid>
        <w:gridCol w:w="4320"/>
        <w:gridCol w:w="4320"/>
      </w:tblGrid>
      <w:tr>
        <w:tc>
          <w:tcPr>
            <w:tcW w:type="dxa" w:w="4320"/>
            <w:shd w:val="clear" w:color="auto" w:fill="3B4259"/>
          </w:tcPr>
          <w:p>
            <w:r>
              <w:rPr>
                <w:rFonts w:ascii="Calibri" w:hAnsi="Calibri"/>
                <w:b/>
                <w:color w:val="FFFFFF"/>
                <w:sz w:val="22"/>
              </w:rPr>
              <w:t>Metric</w:t>
            </w:r>
          </w:p>
        </w:tc>
        <w:tc>
          <w:tcPr>
            <w:tcW w:type="dxa" w:w="4320"/>
            <w:shd w:val="clear" w:color="auto" w:fill="3B4259"/>
          </w:tcPr>
          <w:p>
            <w:r>
              <w:rPr>
                <w:rFonts w:ascii="Calibri" w:hAnsi="Calibri"/>
                <w:b/>
                <w:color w:val="FFFFFF"/>
                <w:sz w:val="22"/>
              </w:rPr>
              <w:t>Value</w:t>
            </w:r>
          </w:p>
        </w:tc>
      </w:tr>
      <w:tr>
        <w:tc>
          <w:tcPr>
            <w:tcW w:type="dxa" w:w="4320"/>
          </w:tcPr>
          <w:p>
            <w:r>
              <w:rPr>
                <w:rFonts w:ascii="Calibri" w:hAnsi="Calibri"/>
                <w:sz w:val="22"/>
              </w:rPr>
              <w:t>Current Stock Price (Jul 27, 2026 pre-market)</w:t>
            </w:r>
          </w:p>
        </w:tc>
        <w:tc>
          <w:tcPr>
            <w:tcW w:type="dxa" w:w="4320"/>
          </w:tcPr>
          <w:p>
            <w:r>
              <w:rPr>
                <w:rFonts w:ascii="Calibri" w:hAnsi="Calibri"/>
                <w:sz w:val="22"/>
              </w:rPr>
              <w:t>$120.16</w:t>
            </w:r>
          </w:p>
        </w:tc>
      </w:tr>
      <w:tr>
        <w:tc>
          <w:tcPr>
            <w:tcW w:type="dxa" w:w="4320"/>
          </w:tcPr>
          <w:p>
            <w:r>
              <w:rPr>
                <w:rFonts w:ascii="Calibri" w:hAnsi="Calibri"/>
                <w:sz w:val="22"/>
              </w:rPr>
              <w:t>NTM EV/EBITDA</w:t>
            </w:r>
          </w:p>
        </w:tc>
        <w:tc>
          <w:tcPr>
            <w:tcW w:type="dxa" w:w="4320"/>
          </w:tcPr>
          <w:p>
            <w:r>
              <w:rPr>
                <w:rFonts w:ascii="Calibri" w:hAnsi="Calibri"/>
                <w:sz w:val="22"/>
              </w:rPr>
              <w:t>14.1x</w:t>
            </w:r>
          </w:p>
        </w:tc>
      </w:tr>
      <w:tr>
        <w:tc>
          <w:tcPr>
            <w:tcW w:type="dxa" w:w="4320"/>
          </w:tcPr>
          <w:p>
            <w:r>
              <w:rPr>
                <w:rFonts w:ascii="Calibri" w:hAnsi="Calibri"/>
                <w:sz w:val="22"/>
              </w:rPr>
              <w:t>NTM P/E</w:t>
            </w:r>
          </w:p>
        </w:tc>
        <w:tc>
          <w:tcPr>
            <w:tcW w:type="dxa" w:w="4320"/>
          </w:tcPr>
          <w:p>
            <w:r>
              <w:rPr>
                <w:rFonts w:ascii="Calibri" w:hAnsi="Calibri"/>
                <w:sz w:val="22"/>
              </w:rPr>
              <w:t>20.5x</w:t>
            </w:r>
          </w:p>
        </w:tc>
      </w:tr>
      <w:tr>
        <w:tc>
          <w:tcPr>
            <w:tcW w:type="dxa" w:w="4320"/>
          </w:tcPr>
          <w:p>
            <w:r>
              <w:rPr>
                <w:rFonts w:ascii="Calibri" w:hAnsi="Calibri"/>
                <w:sz w:val="22"/>
              </w:rPr>
              <w:t>NTM P/FCF</w:t>
            </w:r>
          </w:p>
        </w:tc>
        <w:tc>
          <w:tcPr>
            <w:tcW w:type="dxa" w:w="4320"/>
          </w:tcPr>
          <w:p>
            <w:r>
              <w:rPr>
                <w:rFonts w:ascii="Calibri" w:hAnsi="Calibri"/>
                <w:sz w:val="22"/>
              </w:rPr>
              <w:t>25.8x</w:t>
            </w:r>
          </w:p>
        </w:tc>
      </w:tr>
      <w:tr>
        <w:tc>
          <w:tcPr>
            <w:tcW w:type="dxa" w:w="4320"/>
          </w:tcPr>
          <w:p>
            <w:r>
              <w:rPr>
                <w:rFonts w:ascii="Calibri" w:hAnsi="Calibri"/>
                <w:sz w:val="22"/>
              </w:rPr>
              <w:t>NTM EV/Sales</w:t>
            </w:r>
          </w:p>
        </w:tc>
        <w:tc>
          <w:tcPr>
            <w:tcW w:type="dxa" w:w="4320"/>
          </w:tcPr>
          <w:p>
            <w:r>
              <w:rPr>
                <w:rFonts w:ascii="Calibri" w:hAnsi="Calibri"/>
                <w:sz w:val="22"/>
              </w:rPr>
              <w:t>3.2x</w:t>
            </w:r>
          </w:p>
        </w:tc>
      </w:tr>
      <w:tr>
        <w:tc>
          <w:tcPr>
            <w:tcW w:type="dxa" w:w="4320"/>
          </w:tcPr>
          <w:p>
            <w:r>
              <w:rPr>
                <w:rFonts w:ascii="Calibri" w:hAnsi="Calibri"/>
                <w:sz w:val="22"/>
              </w:rPr>
              <w:t>6-Month EV/EBITDA Multiple Change</w:t>
            </w:r>
          </w:p>
        </w:tc>
        <w:tc>
          <w:tcPr>
            <w:tcW w:type="dxa" w:w="4320"/>
          </w:tcPr>
          <w:p>
            <w:r>
              <w:rPr>
                <w:rFonts w:ascii="Calibri" w:hAnsi="Calibri"/>
                <w:sz w:val="22"/>
              </w:rPr>
              <w:t>−14.5% (from 16.4x)</w:t>
            </w:r>
          </w:p>
        </w:tc>
      </w:tr>
      <w:tr>
        <w:tc>
          <w:tcPr>
            <w:tcW w:type="dxa" w:w="4320"/>
          </w:tcPr>
          <w:p>
            <w:r>
              <w:rPr>
                <w:rFonts w:ascii="Calibri" w:hAnsi="Calibri"/>
                <w:sz w:val="22"/>
              </w:rPr>
              <w:t>12-Month Price Return</w:t>
            </w:r>
          </w:p>
        </w:tc>
        <w:tc>
          <w:tcPr>
            <w:tcW w:type="dxa" w:w="4320"/>
          </w:tcPr>
          <w:p>
            <w:r>
              <w:rPr>
                <w:rFonts w:ascii="Calibri" w:hAnsi="Calibri"/>
                <w:sz w:val="22"/>
              </w:rPr>
              <w:t>−8.4%</w:t>
            </w:r>
          </w:p>
        </w:tc>
      </w:tr>
      <w:tr>
        <w:tc>
          <w:tcPr>
            <w:tcW w:type="dxa" w:w="4320"/>
          </w:tcPr>
          <w:p>
            <w:r>
              <w:rPr>
                <w:rFonts w:ascii="Calibri" w:hAnsi="Calibri"/>
                <w:sz w:val="22"/>
              </w:rPr>
              <w:t>FY 2026 Consensus Revenue</w:t>
            </w:r>
          </w:p>
        </w:tc>
        <w:tc>
          <w:tcPr>
            <w:tcW w:type="dxa" w:w="4320"/>
          </w:tcPr>
          <w:p>
            <w:r>
              <w:rPr>
                <w:rFonts w:ascii="Calibri" w:hAnsi="Calibri"/>
                <w:sz w:val="22"/>
              </w:rPr>
              <w:t>$9.254B</w:t>
            </w:r>
          </w:p>
        </w:tc>
      </w:tr>
      <w:tr>
        <w:tc>
          <w:tcPr>
            <w:tcW w:type="dxa" w:w="4320"/>
          </w:tcPr>
          <w:p>
            <w:r>
              <w:rPr>
                <w:rFonts w:ascii="Calibri" w:hAnsi="Calibri"/>
                <w:sz w:val="22"/>
              </w:rPr>
              <w:t>FY 2026 Consensus Adj. EPS</w:t>
            </w:r>
          </w:p>
        </w:tc>
        <w:tc>
          <w:tcPr>
            <w:tcW w:type="dxa" w:w="4320"/>
          </w:tcPr>
          <w:p>
            <w:r>
              <w:rPr>
                <w:rFonts w:ascii="Calibri" w:hAnsi="Calibri"/>
                <w:sz w:val="22"/>
              </w:rPr>
              <w:t>$5.54</w:t>
            </w:r>
          </w:p>
        </w:tc>
      </w:tr>
      <w:tr>
        <w:tc>
          <w:tcPr>
            <w:tcW w:type="dxa" w:w="4320"/>
          </w:tcPr>
          <w:p>
            <w:r>
              <w:rPr>
                <w:rFonts w:ascii="Calibri" w:hAnsi="Calibri"/>
                <w:sz w:val="22"/>
              </w:rPr>
              <w:t>FY 2026 Consensus EBITDA Margin</w:t>
            </w:r>
          </w:p>
        </w:tc>
        <w:tc>
          <w:tcPr>
            <w:tcW w:type="dxa" w:w="4320"/>
          </w:tcPr>
          <w:p>
            <w:r>
              <w:rPr>
                <w:rFonts w:ascii="Calibri" w:hAnsi="Calibri"/>
                <w:sz w:val="22"/>
              </w:rPr>
              <w:t>23.0%</w:t>
            </w:r>
          </w:p>
        </w:tc>
      </w:tr>
      <w:tr>
        <w:tc>
          <w:tcPr>
            <w:tcW w:type="dxa" w:w="4320"/>
          </w:tcPr>
          <w:p>
            <w:r>
              <w:rPr>
                <w:rFonts w:ascii="Calibri" w:hAnsi="Calibri"/>
                <w:sz w:val="22"/>
              </w:rPr>
              <w:t>Sector ETF (PHO) Return Since Apr 28</w:t>
            </w:r>
          </w:p>
        </w:tc>
        <w:tc>
          <w:tcPr>
            <w:tcW w:type="dxa" w:w="4320"/>
          </w:tcPr>
          <w:p>
            <w:r>
              <w:rPr>
                <w:rFonts w:ascii="Calibri" w:hAnsi="Calibri"/>
                <w:sz w:val="22"/>
              </w:rPr>
              <w:t>+1.1%</w:t>
            </w:r>
          </w:p>
        </w:tc>
      </w:tr>
      <w:tr>
        <w:tc>
          <w:tcPr>
            <w:tcW w:type="dxa" w:w="4320"/>
          </w:tcPr>
          <w:p>
            <w:r>
              <w:rPr>
                <w:rFonts w:ascii="Calibri" w:hAnsi="Calibri"/>
                <w:sz w:val="22"/>
              </w:rPr>
              <w:t>S&amp;P 500 (SPY) Return Since Apr 28</w:t>
            </w:r>
          </w:p>
        </w:tc>
        <w:tc>
          <w:tcPr>
            <w:tcW w:type="dxa" w:w="4320"/>
          </w:tcPr>
          <w:p>
            <w:r>
              <w:rPr>
                <w:rFonts w:ascii="Calibri" w:hAnsi="Calibri"/>
                <w:sz w:val="22"/>
              </w:rPr>
              <w:t>+3.9%</w:t>
            </w:r>
          </w:p>
        </w:tc>
      </w:tr>
    </w:tbl>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