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9" w:name="yum-earnings-predictions--2026-07-30"/>
    <w:p>
      <w:pPr>
        <w:pStyle w:val="Heading1"/>
      </w:pPr>
      <w:r>
        <w:t xml:space="preserve">YUM Earnings Predictions — 2026-07-30</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Ticker</w:t>
            </w:r>
          </w:p>
        </w:tc>
        <w:tc>
          <w:tcPr/>
          <w:p>
            <w:pPr>
              <w:pStyle w:val="Compact"/>
            </w:pPr>
            <w:r>
              <w:t xml:space="preserve">Report or Guide</w:t>
            </w:r>
          </w:p>
        </w:tc>
        <w:tc>
          <w:tcPr/>
          <w:p>
            <w:pPr>
              <w:pStyle w:val="Compact"/>
            </w:pPr>
            <w:r>
              <w:t xml:space="preserve">KPI</w:t>
            </w:r>
          </w:p>
        </w:tc>
        <w:tc>
          <w:tcPr/>
          <w:p>
            <w:pPr>
              <w:pStyle w:val="Compact"/>
            </w:pPr>
            <w:r>
              <w:t xml:space="preserve">Prediction</w:t>
            </w:r>
          </w:p>
        </w:tc>
        <w:tc>
          <w:tcPr/>
          <w:p>
            <w:pPr>
              <w:pStyle w:val="Compact"/>
            </w:pPr>
            <w:r>
              <w:t xml:space="preserve">Answer</w:t>
            </w:r>
          </w:p>
        </w:tc>
        <w:tc>
          <w:tcPr/>
          <w:p>
            <w:pPr>
              <w:pStyle w:val="Compact"/>
            </w:pPr>
            <w:r>
              <w:t xml:space="preserve">Confidence</w:t>
            </w:r>
          </w:p>
        </w:tc>
      </w:tr>
      <w:tr>
        <w:tc>
          <w:tcPr/>
          <w:p>
            <w:pPr>
              <w:pStyle w:val="Compact"/>
            </w:pPr>
            <w:r>
              <w:t xml:space="preserve">YUM</w:t>
            </w:r>
          </w:p>
        </w:tc>
        <w:tc>
          <w:tcPr/>
          <w:p>
            <w:pPr>
              <w:pStyle w:val="Compact"/>
            </w:pPr>
            <w:r>
              <w:t xml:space="preserve">Report</w:t>
            </w:r>
          </w:p>
        </w:tc>
        <w:tc>
          <w:tcPr/>
          <w:p>
            <w:pPr>
              <w:pStyle w:val="Compact"/>
            </w:pPr>
            <w:r>
              <w:t xml:space="preserve">Q2 EPS (ex-special)</w:t>
            </w:r>
          </w:p>
        </w:tc>
        <w:tc>
          <w:tcPr/>
          <w:p>
            <w:pPr>
              <w:pStyle w:val="Compact"/>
            </w:pPr>
            <w:r>
              <w:t xml:space="preserve">BEAT</w:t>
            </w:r>
          </w:p>
        </w:tc>
        <w:tc>
          <w:tcPr/>
          <w:p>
            <w:pPr>
              <w:pStyle w:val="Compact"/>
            </w:pPr>
            <w:r>
              <w:t xml:space="preserve">pred ~$1.62 vs. cons $1.57</w:t>
            </w:r>
          </w:p>
        </w:tc>
        <w:tc>
          <w:tcPr/>
          <w:p>
            <w:pPr>
              <w:pStyle w:val="Compact"/>
            </w:pPr>
            <w:r>
              <w:t xml:space="preserve">MEDIUM</w:t>
            </w:r>
          </w:p>
        </w:tc>
      </w:tr>
      <w:tr>
        <w:tc>
          <w:tcPr/>
          <w:p>
            <w:pPr>
              <w:pStyle w:val="Compact"/>
            </w:pPr>
            <w:r>
              <w:t xml:space="preserve">YUM</w:t>
            </w:r>
          </w:p>
        </w:tc>
        <w:tc>
          <w:tcPr/>
          <w:p>
            <w:pPr>
              <w:pStyle w:val="Compact"/>
            </w:pPr>
            <w:r>
              <w:t xml:space="preserve">Report</w:t>
            </w:r>
          </w:p>
        </w:tc>
        <w:tc>
          <w:tcPr/>
          <w:p>
            <w:pPr>
              <w:pStyle w:val="Compact"/>
            </w:pPr>
            <w:r>
              <w:t xml:space="preserve">Taco Bell U.S. same-store sales (Q2, pre-outbreak quarter)</w:t>
            </w:r>
          </w:p>
        </w:tc>
        <w:tc>
          <w:tcPr/>
          <w:p>
            <w:pPr>
              <w:pStyle w:val="Compact"/>
            </w:pPr>
            <w:r>
              <w:t xml:space="preserve">BEAT</w:t>
            </w:r>
          </w:p>
        </w:tc>
        <w:tc>
          <w:tcPr/>
          <w:p>
            <w:pPr>
              <w:pStyle w:val="Compact"/>
            </w:pPr>
            <w:r>
              <w:t xml:space="preserve">pred ~+7.5% vs. cons +6.4%</w:t>
            </w:r>
          </w:p>
        </w:tc>
        <w:tc>
          <w:tcPr/>
          <w:p>
            <w:pPr>
              <w:pStyle w:val="Compact"/>
            </w:pPr>
            <w:r>
              <w:t xml:space="preserve">MEDIUM</w:t>
            </w:r>
          </w:p>
        </w:tc>
      </w:tr>
      <w:tr>
        <w:tc>
          <w:tcPr/>
          <w:p>
            <w:pPr>
              <w:pStyle w:val="Compact"/>
            </w:pPr>
            <w:r>
              <w:t xml:space="preserve">YUM</w:t>
            </w:r>
          </w:p>
        </w:tc>
        <w:tc>
          <w:tcPr/>
          <w:p>
            <w:pPr>
              <w:pStyle w:val="Compact"/>
            </w:pPr>
            <w:r>
              <w:t xml:space="preserve">Report</w:t>
            </w:r>
          </w:p>
        </w:tc>
        <w:tc>
          <w:tcPr/>
          <w:p>
            <w:pPr>
              <w:pStyle w:val="Compact"/>
            </w:pPr>
            <w:r>
              <w:t xml:space="preserve">Blended/system same-store sales (Q2)</w:t>
            </w:r>
          </w:p>
        </w:tc>
        <w:tc>
          <w:tcPr/>
          <w:p>
            <w:pPr>
              <w:pStyle w:val="Compact"/>
            </w:pPr>
            <w:r>
              <w:t xml:space="preserve">BEAT</w:t>
            </w:r>
          </w:p>
        </w:tc>
        <w:tc>
          <w:tcPr/>
          <w:p>
            <w:pPr>
              <w:pStyle w:val="Compact"/>
            </w:pPr>
            <w:r>
              <w:t xml:space="preserve">pred ~+3.4% vs. cons +2.85%</w:t>
            </w:r>
          </w:p>
        </w:tc>
        <w:tc>
          <w:tcPr/>
          <w:p>
            <w:pPr>
              <w:pStyle w:val="Compact"/>
            </w:pPr>
            <w:r>
              <w:t xml:space="preserve">MEDIUM</w:t>
            </w:r>
          </w:p>
        </w:tc>
      </w:tr>
      <w:tr>
        <w:tc>
          <w:tcPr/>
          <w:p>
            <w:pPr>
              <w:pStyle w:val="Compact"/>
            </w:pPr>
            <w:r>
              <w:t xml:space="preserve">YUM</w:t>
            </w:r>
          </w:p>
        </w:tc>
        <w:tc>
          <w:tcPr/>
          <w:p>
            <w:pPr>
              <w:pStyle w:val="Compact"/>
            </w:pPr>
            <w:r>
              <w:t xml:space="preserve">Guide</w:t>
            </w:r>
          </w:p>
        </w:tc>
        <w:tc>
          <w:tcPr/>
          <w:p>
            <w:pPr>
              <w:pStyle w:val="Compact"/>
            </w:pPr>
            <w:r>
              <w:t xml:space="preserve">Q3 Taco Bell U.S. comps / cyclospora traffic impact (the swing factor)</w:t>
            </w:r>
          </w:p>
        </w:tc>
        <w:tc>
          <w:tcPr/>
          <w:p>
            <w:pPr>
              <w:pStyle w:val="Compact"/>
            </w:pPr>
            <w:r>
              <w:t xml:space="preserve">LOWER</w:t>
            </w:r>
          </w:p>
        </w:tc>
        <w:tc>
          <w:tcPr/>
          <w:p>
            <w:pPr>
              <w:pStyle w:val="Compact"/>
            </w:pPr>
            <w:r>
              <w:t xml:space="preserve">guide ~+1.5% vs. cons ~+5% (Q3 2026)</w:t>
            </w:r>
          </w:p>
        </w:tc>
        <w:tc>
          <w:tcPr/>
          <w:p>
            <w:pPr>
              <w:pStyle w:val="Compact"/>
            </w:pPr>
            <w:r>
              <w:t xml:space="preserve">MEDIUM</w:t>
            </w:r>
          </w:p>
        </w:tc>
      </w:tr>
      <w:tr>
        <w:tc>
          <w:tcPr/>
          <w:p>
            <w:pPr>
              <w:pStyle w:val="Compact"/>
            </w:pPr>
            <w:r>
              <w:t xml:space="preserve">YUM</w:t>
            </w:r>
          </w:p>
        </w:tc>
        <w:tc>
          <w:tcPr/>
          <w:p>
            <w:pPr>
              <w:pStyle w:val="Compact"/>
            </w:pPr>
            <w:r>
              <w:t xml:space="preserve">Guide</w:t>
            </w:r>
          </w:p>
        </w:tc>
        <w:tc>
          <w:tcPr/>
          <w:p>
            <w:pPr>
              <w:pStyle w:val="Compact"/>
            </w:pPr>
            <w:r>
              <w:t xml:space="preserve">Buyback authorization / capital return from Pizza Hut proceeds</w:t>
            </w:r>
          </w:p>
        </w:tc>
        <w:tc>
          <w:tcPr/>
          <w:p>
            <w:pPr>
              <w:pStyle w:val="Compact"/>
            </w:pPr>
            <w:r>
              <w:t xml:space="preserve">BETTER</w:t>
            </w:r>
          </w:p>
        </w:tc>
        <w:tc>
          <w:tcPr/>
          <w:p>
            <w:pPr>
              <w:pStyle w:val="Compact"/>
            </w:pPr>
            <w:r>
              <w:t xml:space="preserve">guide ~</w:t>
            </w:r>
            <m:oMath>
              <m:r>
                <m:t>4.0</m:t>
              </m:r>
              <m:r>
                <m:t>B</m:t>
              </m:r>
              <m:r>
                <m:t>v</m:t>
              </m:r>
              <m:r>
                <m:t>s</m:t>
              </m:r>
              <m:r>
                <m:rPr>
                  <m:sty m:val="p"/>
                </m:rPr>
                <m:t>.</m:t>
              </m:r>
              <m:r>
                <m:t>c</m:t>
              </m:r>
              <m:r>
                <m:t>o</m:t>
              </m:r>
              <m:r>
                <m:t>n</m:t>
              </m:r>
              <m:r>
                <m:t>s</m:t>
              </m:r>
              <m:r>
                <m:rPr>
                  <m:sty m:val="p"/>
                </m:rPr>
                <m:t>/</m:t>
              </m:r>
              <m:r>
                <m:t>p</m:t>
              </m:r>
              <m:r>
                <m:t>r</m:t>
              </m:r>
              <m:r>
                <m:t>i</m:t>
              </m:r>
              <m:r>
                <m:t>o</m:t>
              </m:r>
              <m:r>
                <m:t>r</m:t>
              </m:r>
              <m:r>
                <m:t> </m:t>
              </m:r>
            </m:oMath>
            <w:r>
              <w:t xml:space="preserve">2.0B (post-close, 2026-27)</w:t>
            </w:r>
          </w:p>
        </w:tc>
        <w:tc>
          <w:tcPr/>
          <w:p>
            <w:pPr>
              <w:pStyle w:val="Compact"/>
            </w:pPr>
            <w:r>
              <w:t xml:space="preserve">MEDIUM</w:t>
            </w:r>
          </w:p>
        </w:tc>
      </w:tr>
      <w:tr>
        <w:tc>
          <w:tcPr/>
          <w:p>
            <w:pPr>
              <w:pStyle w:val="Compact"/>
            </w:pPr>
            <w:r>
              <w:t xml:space="preserve">YUM</w:t>
            </w:r>
          </w:p>
        </w:tc>
        <w:tc>
          <w:tcPr/>
          <w:p>
            <w:pPr>
              <w:pStyle w:val="Compact"/>
            </w:pPr>
            <w:r>
              <w:t xml:space="preserve">Guide</w:t>
            </w:r>
          </w:p>
        </w:tc>
        <w:tc>
          <w:tcPr/>
          <w:p>
            <w:pPr>
              <w:pStyle w:val="Compact"/>
            </w:pPr>
            <w:r>
              <w:t xml:space="preserve">FY core operating profit growth ex-Pizza Hut (long-term algo reaffirm)</w:t>
            </w:r>
          </w:p>
        </w:tc>
        <w:tc>
          <w:tcPr/>
          <w:p>
            <w:pPr>
              <w:pStyle w:val="Compact"/>
            </w:pPr>
            <w:r>
              <w:t xml:space="preserve">UNCHANGED</w:t>
            </w:r>
          </w:p>
        </w:tc>
        <w:tc>
          <w:tcPr/>
          <w:p>
            <w:pPr>
              <w:pStyle w:val="Compact"/>
            </w:pPr>
            <w:r>
              <w:t xml:space="preserve">guide ~+8-10% vs. cons ~+8% (FY2026)</w:t>
            </w:r>
          </w:p>
        </w:tc>
        <w:tc>
          <w:tcPr/>
          <w:p>
            <w:pPr>
              <w:pStyle w:val="Compact"/>
            </w:pPr>
            <w:r>
              <w:t xml:space="preserve">LOW</w:t>
            </w:r>
          </w:p>
        </w:tc>
      </w:tr>
      <w:tr>
        <w:tc>
          <w:tcPr/>
          <w:p>
            <w:pPr>
              <w:pStyle w:val="Compact"/>
            </w:pPr>
            <w:r>
              <w:t xml:space="preserve">YUM</w:t>
            </w:r>
          </w:p>
        </w:tc>
        <w:tc>
          <w:tcPr/>
          <w:p>
            <w:pPr>
              <w:pStyle w:val="Compact"/>
            </w:pPr>
            <w:r>
              <w:t xml:space="preserve">Return</w:t>
            </w:r>
          </w:p>
        </w:tc>
        <w:tc>
          <w:tcPr/>
          <w:p>
            <w:pPr>
              <w:pStyle w:val="Compact"/>
            </w:pPr>
            <w:r>
              <w:t xml:space="preserve">Day-1 residual (stock − beta × S&amp;P 500)</w:t>
            </w:r>
          </w:p>
        </w:tc>
        <w:tc>
          <w:tcPr/>
          <w:p>
            <w:pPr>
              <w:pStyle w:val="Compact"/>
            </w:pPr>
            <w:r>
              <w:t xml:space="preserve">+3.0%</w:t>
            </w:r>
          </w:p>
        </w:tc>
        <w:tc>
          <w:tcPr/>
          <w:p>
            <w:pPr>
              <w:pStyle w:val="Compact"/>
            </w:pPr>
            <w:r>
              <w:t xml:space="preserve">—</w:t>
            </w:r>
          </w:p>
        </w:tc>
        <w:tc>
          <w:tcPr/>
          <w:p>
            <w:pPr>
              <w:pStyle w:val="Compact"/>
            </w:pPr>
            <w:r>
              <w:t xml:space="preserve">MEDIUM</w:t>
            </w:r>
          </w:p>
        </w:tc>
      </w:tr>
      <w:tr>
        <w:tc>
          <w:tcPr/>
          <w:p>
            <w:pPr>
              <w:pStyle w:val="Compact"/>
            </w:pPr>
            <w:r>
              <w:t xml:space="preserve">YUM</w:t>
            </w:r>
          </w:p>
        </w:tc>
        <w:tc>
          <w:tcPr/>
          <w:p>
            <w:pPr>
              <w:pStyle w:val="Compact"/>
            </w:pPr>
            <w:r>
              <w:t xml:space="preserve">Return</w:t>
            </w:r>
          </w:p>
        </w:tc>
        <w:tc>
          <w:tcPr/>
          <w:p>
            <w:pPr>
              <w:pStyle w:val="Compact"/>
            </w:pPr>
            <w:r>
              <w:t xml:space="preserve">5-day cumulative residual</w:t>
            </w:r>
          </w:p>
        </w:tc>
        <w:tc>
          <w:tcPr/>
          <w:p>
            <w:pPr>
              <w:pStyle w:val="Compact"/>
            </w:pPr>
            <w:r>
              <w:t xml:space="preserve">+1.0% (FADE)</w:t>
            </w:r>
          </w:p>
        </w:tc>
        <w:tc>
          <w:tcPr/>
          <w:p>
            <w:pPr>
              <w:pStyle w:val="Compact"/>
            </w:pPr>
            <w:r>
              <w:t xml:space="preserve">Q2 was a clean pre-outbreak beat plus an upsized ~$4B buyback and Pizza Hut simplification story, so an oversold stock (down ~9% from the early-July $167 peak, sentiment cautious) sets up a day-1 relief pop. But the out-period math works against follow-through: management's/Street's Q3 Taco Bell comp assumptions get cut for the cyclospora traffic hole even as FY EPS holds, so implicit downward revisions pull estimates lower and the initial relief partially fades over the week; net stays modestly positive on the buyback backstop but gives back most of the day-1 gain.</w:t>
            </w:r>
          </w:p>
        </w:tc>
        <w:tc>
          <w:tcPr/>
          <w:p>
            <w:pPr>
              <w:pStyle w:val="Compact"/>
            </w:pPr>
            <w:r>
              <w:t xml:space="preserve">LOW</w:t>
            </w:r>
          </w:p>
        </w:tc>
      </w:tr>
    </w:tbl>
    <w:bookmarkEnd w:id="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2026-07-29T17:57:00Z</dcterms:created>
  <dcterms:modified xsi:type="dcterms:W3CDTF">2026-07-29T17:57:00Z</dcterms:modified>
</cp:coreProperties>
</file>

<file path=docProps/custom.xml><?xml version="1.0" encoding="utf-8"?>
<Properties xmlns="http://schemas.openxmlformats.org/officeDocument/2006/custom-properties" xmlns:vt="http://schemas.openxmlformats.org/officeDocument/2006/docPropsVTypes"/>
</file>