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FirstParagraph"/>
      </w:pPr>
      <w:r>
        <w:t xml:space="preserve">I'll research YUM before writing the preview. Let me gather recent earnings materials, news, and stock data in parallel.Let me read the most recent earnings call transcript and release, plus recent news on the Pizza Hut divestiture and Taco Bell outbreak.Let me get more detail on the Taco Bell outbreak and Pizza Hut divestiture, plus analyst expectations for the quarter.The news docs are just one-liners. Let me read the more detailed articles.Let me get the Pizza Hut deal details and the July 29 preview article in full.I have what I need. Let me compute a few precise stock stats before writing.# Yum! Brands (YUM) — Q2 2026 Earnings Preview</w:t>
      </w:r>
    </w:p>
    <w:bookmarkStart w:id="9" w:name="X38922263a7caa518def7a4415d4064d42302e52"/>
    <w:p>
      <w:pPr>
        <w:pStyle w:val="Heading3"/>
      </w:pPr>
      <w:r>
        <w:t xml:space="preserve">Reports Thursday, July 30, 2026 (before the open) | Conference call same day</w:t>
      </w:r>
    </w:p>
    <w:p>
      <w:r>
        <w:pict>
          <v:rect style="width:0;height:1.5pt" o:hralign="center" o:hrstd="t" o:hr="t"/>
        </w:pict>
      </w:r>
    </w:p>
    <w:bookmarkEnd w:id="9"/>
    <w:bookmarkStart w:id="10" w:name="the-one-line-setup"/>
    <w:p>
      <w:pPr>
        <w:pStyle w:val="Heading2"/>
      </w:pPr>
      <w:r>
        <w:t xml:space="preserve">The One-Line Setup</w:t>
      </w:r>
    </w:p>
    <w:p>
      <w:pPr>
        <w:pStyle w:val="FirstParagraph"/>
      </w:pPr>
      <w:r>
        <w:t xml:space="preserve">Yum! goes into this print in an unusual spot: the fundamentals look strong and the portfolio is getting simpler (Pizza Hut is being sold), but the narrative has been hijacked by a</w:t>
      </w:r>
      <w:r>
        <w:t xml:space="preserve"> </w:t>
      </w:r>
      <w:r>
        <w:rPr>
          <w:b/>
          <w:bCs/>
        </w:rPr>
        <w:t xml:space="preserve">cyclospora/cyclosporiasis outbreak tied to Taco Bell lettuce</w:t>
      </w:r>
      <w:r>
        <w:t xml:space="preserve">. The numbers will likely be fine; the Q&amp;A on food-safety impact and forward comps is what moves the stock.</w:t>
      </w:r>
    </w:p>
    <w:p>
      <w:r>
        <w:pict>
          <v:rect style="width:0;height:1.5pt" o:hralign="center" o:hrstd="t" o:hr="t"/>
        </w:pict>
      </w:r>
    </w:p>
    <w:bookmarkEnd w:id="10"/>
    <w:bookmarkStart w:id="11" w:name="what-the-street-expects"/>
    <w:p>
      <w:pPr>
        <w:pStyle w:val="Heading2"/>
      </w:pPr>
      <w:r>
        <w:t xml:space="preserve">What the Street Expects</w:t>
      </w:r>
    </w:p>
    <w:p>
      <w:pPr>
        <w:pStyle w:val="Compact"/>
        <w:numPr>
          <w:ilvl w:val="0"/>
          <w:numId w:val="1001"/>
        </w:numPr>
      </w:pPr>
      <w:r>
        <w:rPr>
          <w:b/>
          <w:bCs/>
        </w:rPr>
        <w:t xml:space="preserve">EPS: ~$1.57</w:t>
      </w:r>
      <w:r>
        <w:t xml:space="preserve"> </w:t>
      </w:r>
      <w:r>
        <w:t xml:space="preserve">for the quarter.</w:t>
      </w:r>
    </w:p>
    <w:p>
      <w:pPr>
        <w:pStyle w:val="Compact"/>
        <w:numPr>
          <w:ilvl w:val="0"/>
          <w:numId w:val="1001"/>
        </w:numPr>
      </w:pPr>
      <w:r>
        <w:rPr>
          <w:b/>
          <w:bCs/>
        </w:rPr>
        <w:t xml:space="preserve">Blended same-store sales: ~+2.85%</w:t>
      </w:r>
      <w:r>
        <w:t xml:space="preserve">, with</w:t>
      </w:r>
      <w:r>
        <w:t xml:space="preserve"> </w:t>
      </w:r>
      <w:r>
        <w:rPr>
          <w:b/>
          <w:bCs/>
        </w:rPr>
        <w:t xml:space="preserve">Taco Bell comps ~+6.4%</w:t>
      </w:r>
      <w:r>
        <w:t xml:space="preserve"> </w:t>
      </w:r>
      <w:r>
        <w:t xml:space="preserve">and</w:t>
      </w:r>
      <w:r>
        <w:t xml:space="preserve"> </w:t>
      </w:r>
      <w:r>
        <w:rPr>
          <w:b/>
          <w:bCs/>
        </w:rPr>
        <w:t xml:space="preserve">KFC ~+2.1%</w:t>
      </w:r>
      <w:r>
        <w:t xml:space="preserve">.</w:t>
      </w:r>
    </w:p>
    <w:p>
      <w:pPr>
        <w:pStyle w:val="Compact"/>
        <w:numPr>
          <w:ilvl w:val="0"/>
          <w:numId w:val="1001"/>
        </w:numPr>
      </w:pPr>
      <w:r>
        <w:t xml:space="preserve">Note: Q2 reported results will</w:t>
      </w:r>
      <w:r>
        <w:t xml:space="preserve"> </w:t>
      </w:r>
      <w:r>
        <w:rPr>
          <w:b/>
          <w:bCs/>
        </w:rPr>
        <w:t xml:space="preserve">still include Pizza Hut</w:t>
      </w:r>
      <w:r>
        <w:t xml:space="preserve"> </w:t>
      </w:r>
      <w:r>
        <w:t xml:space="preserve">— the divestiture is expected to close in Q3, so this is the last "old Yum!" quarter. Watch the ex-Pizza Hut framing management has been using (Q1 core operating profit grew</w:t>
      </w:r>
      <w:r>
        <w:t xml:space="preserve"> </w:t>
      </w:r>
      <w:r>
        <w:rPr>
          <w:b/>
          <w:bCs/>
        </w:rPr>
        <w:t xml:space="preserve">10% ex-Pizza Hut</w:t>
      </w:r>
      <w:r>
        <w:t xml:space="preserve"> </w:t>
      </w:r>
      <w:r>
        <w:t xml:space="preserve">vs. 6% reported).</w:t>
      </w:r>
    </w:p>
    <w:p>
      <w:pPr>
        <w:pStyle w:val="FirstParagraph"/>
      </w:pPr>
      <w:r>
        <w:t xml:space="preserve">Given the Q1 setup — Taco Bell U.S. +8% comps, KFC +7% unit growth, record 63% digital mix, and EPS ex-special of $1.50 (+15% YoY) — a "clean beat" on headline metrics is very achievable. The debate is entirely about what happens</w:t>
      </w:r>
      <w:r>
        <w:t xml:space="preserve"> </w:t>
      </w:r>
      <w:r>
        <w:rPr>
          <w:i/>
          <w:iCs/>
        </w:rPr>
        <w:t xml:space="preserve">next</w:t>
      </w:r>
      <w:r>
        <w:t xml:space="preserve">.</w:t>
      </w:r>
    </w:p>
    <w:p>
      <w:r>
        <w:pict>
          <v:rect style="width:0;height:1.5pt" o:hralign="center" o:hrstd="t" o:hr="t"/>
        </w:pict>
      </w:r>
    </w:p>
    <w:bookmarkEnd w:id="11"/>
    <w:bookmarkStart w:id="12" w:name="X4606d2744dd37d8d44ab1c500861e74b35aea92"/>
    <w:p>
      <w:pPr>
        <w:pStyle w:val="Heading2"/>
      </w:pPr>
      <w:r>
        <w:t xml:space="preserve">Issue #1: The Taco Bell Cyclospora Outbreak (the swing factor)</w:t>
      </w:r>
    </w:p>
    <w:p>
      <w:pPr>
        <w:pStyle w:val="FirstParagraph"/>
      </w:pPr>
      <w:r>
        <w:t xml:space="preserve">This is what investors are fixated on going in. Wall Street projects a strong Q2, but the focus will be on outbreak updates.</w:t>
      </w:r>
    </w:p>
    <w:p>
      <w:pPr>
        <w:pStyle w:val="BodyText"/>
      </w:pPr>
      <w:r>
        <w:rPr>
          <w:b/>
          <w:bCs/>
        </w:rPr>
        <w:t xml:space="preserve">What happened:</w:t>
      </w:r>
    </w:p>
    <w:p>
      <w:pPr>
        <w:pStyle w:val="Compact"/>
        <w:numPr>
          <w:ilvl w:val="0"/>
          <w:numId w:val="1002"/>
        </w:numPr>
      </w:pPr>
      <w:r>
        <w:t xml:space="preserve">The CDC/FDA linked a multistate</w:t>
      </w:r>
      <w:r>
        <w:t xml:space="preserve"> </w:t>
      </w:r>
      <w:r>
        <w:rPr>
          <w:b/>
          <w:bCs/>
        </w:rPr>
        <w:t xml:space="preserve">cyclosporiasis</w:t>
      </w:r>
      <w:r>
        <w:t xml:space="preserve"> </w:t>
      </w:r>
      <w:r>
        <w:t xml:space="preserve">outbreak to</w:t>
      </w:r>
      <w:r>
        <w:t xml:space="preserve"> </w:t>
      </w:r>
      <w:r>
        <w:rPr>
          <w:b/>
          <w:bCs/>
        </w:rPr>
        <w:t xml:space="preserve">shredded iceberg lettuce supplied to Taco Bell by Taylor Farms</w:t>
      </w:r>
      <w:r>
        <w:t xml:space="preserve">. Reports cited roughly</w:t>
      </w:r>
      <w:r>
        <w:t xml:space="preserve"> </w:t>
      </w:r>
      <w:r>
        <w:rPr>
          <w:b/>
          <w:bCs/>
        </w:rPr>
        <w:t xml:space="preserve">7,000 illnesses across ~5 states</w:t>
      </w:r>
      <w:r>
        <w:t xml:space="preserve"> </w:t>
      </w:r>
      <w:r>
        <w:t xml:space="preserve">(earlier CDC tallies noted 1,645 domestically-acquired cases across 34 states with 141 hospitalizations as of mid-July).</w:t>
      </w:r>
    </w:p>
    <w:p>
      <w:pPr>
        <w:pStyle w:val="Compact"/>
        <w:numPr>
          <w:ilvl w:val="0"/>
          <w:numId w:val="1002"/>
        </w:numPr>
      </w:pPr>
      <w:r>
        <w:t xml:space="preserve">Taco Bell</w:t>
      </w:r>
      <w:r>
        <w:t xml:space="preserve"> </w:t>
      </w:r>
      <w:r>
        <w:rPr>
          <w:b/>
          <w:bCs/>
        </w:rPr>
        <w:t xml:space="preserve">removed the suspected lettuce</w:t>
      </w:r>
      <w:r>
        <w:t xml:space="preserve"> </w:t>
      </w:r>
      <w:r>
        <w:t xml:space="preserve">from its supply chain and pulled some ingredients at select restaurants as a precaution.</w:t>
      </w:r>
    </w:p>
    <w:p>
      <w:pPr>
        <w:pStyle w:val="Compact"/>
        <w:numPr>
          <w:ilvl w:val="0"/>
          <w:numId w:val="1002"/>
        </w:numPr>
      </w:pPr>
      <w:r>
        <w:t xml:space="preserve">Taco Bell is already running</w:t>
      </w:r>
      <w:r>
        <w:t xml:space="preserve"> </w:t>
      </w:r>
      <w:r>
        <w:rPr>
          <w:b/>
          <w:bCs/>
        </w:rPr>
        <w:t xml:space="preserve">defensive value/recovery marketing</w:t>
      </w:r>
      <w:r>
        <w:t xml:space="preserve"> </w:t>
      </w:r>
      <w:r>
        <w:t xml:space="preserve">(e.g., dollar-priced items) to rebuild traffic and trust — a tell that management sees a near-term traffic hole to fill.</w:t>
      </w:r>
    </w:p>
    <w:p>
      <w:pPr>
        <w:pStyle w:val="FirstParagraph"/>
      </w:pPr>
      <w:r>
        <w:rPr>
          <w:b/>
          <w:bCs/>
        </w:rPr>
        <w:t xml:space="preserve">Why it matters for the stock:</w:t>
      </w:r>
      <w:r>
        <w:t xml:space="preserve"> </w:t>
      </w:r>
      <w:r>
        <w:t xml:space="preserve">The market has already priced in some damage. YUM peaked near</w:t>
      </w:r>
      <w:r>
        <w:t xml:space="preserve"> </w:t>
      </w:r>
      <m:oMath>
        <m:r>
          <m:t>167</m:t>
        </m:r>
        <m:r>
          <m:t>i</m:t>
        </m:r>
        <m:r>
          <m:t>n</m:t>
        </m:r>
        <m:r>
          <m:t>e</m:t>
        </m:r>
        <m:r>
          <m:t>a</m:t>
        </m:r>
        <m:r>
          <m:t>r</m:t>
        </m:r>
        <m:r>
          <m:t>l</m:t>
        </m:r>
        <m:r>
          <m:t>y</m:t>
        </m:r>
        <m:r>
          <m:t>J</m:t>
        </m:r>
        <m:r>
          <m:t>u</m:t>
        </m:r>
        <m:r>
          <m:t>l</m:t>
        </m:r>
        <m:r>
          <m:t>y</m:t>
        </m:r>
        <m:r>
          <m:rPr>
            <m:sty m:val="p"/>
          </m:rPr>
          <m:t>*</m:t>
        </m:r>
        <m:r>
          <m:rPr>
            <m:sty m:val="p"/>
          </m:rPr>
          <m:t>*</m:t>
        </m:r>
        <m:r>
          <m:rPr>
            <m:sty m:val="p"/>
          </m:rPr>
          <m:t>,</m:t>
        </m:r>
        <m:r>
          <m:t>f</m:t>
        </m:r>
        <m:r>
          <m:t>e</m:t>
        </m:r>
        <m:r>
          <m:t>l</m:t>
        </m:r>
        <m:r>
          <m:t>l</m:t>
        </m:r>
        <m:r>
          <m:t>a</m:t>
        </m:r>
        <m:r>
          <m:t>s</m:t>
        </m:r>
        <m:r>
          <m:t>m</m:t>
        </m:r>
        <m:r>
          <m:t>u</m:t>
        </m:r>
        <m:r>
          <m:t>c</m:t>
        </m:r>
        <m:r>
          <m:t>h</m:t>
        </m:r>
        <m:r>
          <m:t>a</m:t>
        </m:r>
        <m:r>
          <m:t>s</m:t>
        </m:r>
        <m:r>
          <m:rPr>
            <m:sty m:val="p"/>
          </m:rPr>
          <m:t>*</m:t>
        </m:r>
        <m:r>
          <m:rPr>
            <m:sty m:val="p"/>
          </m:rPr>
          <m:t>*</m:t>
        </m:r>
        <m:r>
          <m:t> </m:t>
        </m:r>
        <m:r>
          <m:t>12</m:t>
        </m:r>
      </m:oMath>
      <w:r>
        <w:rPr>
          <w:b/>
          <w:bCs/>
        </w:rPr>
        <w:t xml:space="preserve">147</w:t>
      </w:r>
      <w:r>
        <w:t xml:space="preserve"> </w:t>
      </w:r>
      <w:r>
        <w:t xml:space="preserve">as the outbreak news broke (July 14–21), and has since recovered to</w:t>
      </w:r>
      <w:r>
        <w:t xml:space="preserve"> </w:t>
      </w:r>
      <w:r>
        <w:rPr>
          <w:b/>
          <w:bCs/>
        </w:rPr>
        <w:t xml:space="preserve">~$152</w:t>
      </w:r>
      <w:r>
        <w:t xml:space="preserve">. YTD the stock is roughly</w:t>
      </w:r>
      <w:r>
        <w:t xml:space="preserve"> </w:t>
      </w:r>
      <w:r>
        <w:rPr>
          <w:b/>
          <w:bCs/>
        </w:rPr>
        <w:t xml:space="preserve">flat (+1%)</w:t>
      </w:r>
      <w:r>
        <w:t xml:space="preserve">, badly lagging where it was mid-year.</w:t>
      </w:r>
    </w:p>
    <w:p>
      <w:pPr>
        <w:pStyle w:val="BodyText"/>
      </w:pPr>
      <w:r>
        <w:rPr>
          <w:b/>
          <w:bCs/>
        </w:rPr>
        <w:t xml:space="preserve">The bull/bear framework analysts are using:</w:t>
      </w:r>
      <w:r>
        <w:t xml:space="preserve"> </w:t>
      </w:r>
      <w:r>
        <w:t xml:space="preserve">McDonald's vs. Chipotle.</w:t>
      </w:r>
    </w:p>
    <w:p>
      <w:pPr>
        <w:pStyle w:val="Compact"/>
        <w:numPr>
          <w:ilvl w:val="0"/>
          <w:numId w:val="1003"/>
        </w:numPr>
      </w:pPr>
      <w:r>
        <w:rPr>
          <w:b/>
          <w:bCs/>
        </w:rPr>
        <w:t xml:space="preserve">Chipotle 2015 (bear case):</w:t>
      </w:r>
      <w:r>
        <w:t xml:space="preserve"> </w:t>
      </w:r>
      <w:r>
        <w:t xml:space="preserve">No single ingredient was isolated, it became a whole-kitchen "trust crisis," comps fell ~15% then stayed ~30% down, and the stock took years to recover.</w:t>
      </w:r>
    </w:p>
    <w:p>
      <w:pPr>
        <w:pStyle w:val="Compact"/>
        <w:numPr>
          <w:ilvl w:val="0"/>
          <w:numId w:val="1003"/>
        </w:numPr>
      </w:pPr>
      <w:r>
        <w:rPr>
          <w:b/>
          <w:bCs/>
        </w:rPr>
        <w:t xml:space="preserve">McDonald's 2018/2024 (bull case):</w:t>
      </w:r>
      <w:r>
        <w:t xml:space="preserve"> </w:t>
      </w:r>
      <w:r>
        <w:t xml:space="preserve">Salad/onion-linked outbreaks where the offending item was quickly swapped and supplier changed; impact was contained and the stock recovered within quarters.</w:t>
      </w:r>
    </w:p>
    <w:p>
      <w:pPr>
        <w:pStyle w:val="Compact"/>
        <w:numPr>
          <w:ilvl w:val="0"/>
          <w:numId w:val="1003"/>
        </w:numPr>
      </w:pPr>
      <w:r>
        <w:t xml:space="preserve">The early read leans</w:t>
      </w:r>
      <w:r>
        <w:t xml:space="preserve"> </w:t>
      </w:r>
      <w:r>
        <w:rPr>
          <w:b/>
          <w:bCs/>
        </w:rPr>
        <w:t xml:space="preserve">McDonald's, not Chipotle</w:t>
      </w:r>
      <w:r>
        <w:t xml:space="preserve"> </w:t>
      </w:r>
      <w:r>
        <w:t xml:space="preserve">— no agency has confirmed Taco Bell itself as the source, and the culprit appears to be a</w:t>
      </w:r>
      <w:r>
        <w:t xml:space="preserve"> </w:t>
      </w:r>
      <w:r>
        <w:rPr>
          <w:i/>
          <w:iCs/>
        </w:rPr>
        <w:t xml:space="preserve">single, removable third-party ingredient (lettuce from one supplier)</w:t>
      </w:r>
      <w:r>
        <w:t xml:space="preserve"> </w:t>
      </w:r>
      <w:r>
        <w:t xml:space="preserve">rather than a systemic kitchen problem. Several analysts expect a relatively quick recovery with no long-term impact, though some have</w:t>
      </w:r>
      <w:r>
        <w:t xml:space="preserve"> </w:t>
      </w:r>
      <w:r>
        <w:rPr>
          <w:b/>
          <w:bCs/>
        </w:rPr>
        <w:t xml:space="preserve">already trimmed Q3 same-store-sales estimates</w:t>
      </w:r>
      <w:r>
        <w:t xml:space="preserve">.</w:t>
      </w:r>
    </w:p>
    <w:p>
      <w:pPr>
        <w:pStyle w:val="FirstParagraph"/>
      </w:pPr>
      <w:r>
        <w:rPr>
          <w:b/>
          <w:bCs/>
        </w:rPr>
        <w:t xml:space="preserve">What to listen for:</w:t>
      </w:r>
    </w:p>
    <w:p>
      <w:pPr>
        <w:pStyle w:val="Compact"/>
        <w:numPr>
          <w:ilvl w:val="0"/>
          <w:numId w:val="1004"/>
        </w:numPr>
      </w:pPr>
      <w:r>
        <w:t xml:space="preserve">Management's</w:t>
      </w:r>
      <w:r>
        <w:t xml:space="preserve"> </w:t>
      </w:r>
      <w:r>
        <w:rPr>
          <w:b/>
          <w:bCs/>
        </w:rPr>
        <w:t xml:space="preserve">quantification</w:t>
      </w:r>
      <w:r>
        <w:t xml:space="preserve"> </w:t>
      </w:r>
      <w:r>
        <w:t xml:space="preserve">of any July/Q3 traffic hit (the outbreak is mostly a Q3 event — it broke</w:t>
      </w:r>
      <w:r>
        <w:t xml:space="preserve"> </w:t>
      </w:r>
      <w:r>
        <w:rPr>
          <w:i/>
          <w:iCs/>
        </w:rPr>
        <w:t xml:space="preserve">after</w:t>
      </w:r>
      <w:r>
        <w:t xml:space="preserve"> </w:t>
      </w:r>
      <w:r>
        <w:t xml:space="preserve">the Q2 quarter close).</w:t>
      </w:r>
    </w:p>
    <w:p>
      <w:pPr>
        <w:pStyle w:val="Compact"/>
        <w:numPr>
          <w:ilvl w:val="0"/>
          <w:numId w:val="1004"/>
        </w:numPr>
      </w:pPr>
      <w:r>
        <w:t xml:space="preserve">Whether Taco Bell's</w:t>
      </w:r>
      <w:r>
        <w:t xml:space="preserve"> </w:t>
      </w:r>
      <w:r>
        <w:rPr>
          <w:b/>
          <w:bCs/>
        </w:rPr>
        <w:t xml:space="preserve">8-quarter streak of industry-beating comps</w:t>
      </w:r>
      <w:r>
        <w:t xml:space="preserve"> </w:t>
      </w:r>
      <w:r>
        <w:t xml:space="preserve">is at risk.</w:t>
      </w:r>
    </w:p>
    <w:p>
      <w:pPr>
        <w:pStyle w:val="Compact"/>
        <w:numPr>
          <w:ilvl w:val="0"/>
          <w:numId w:val="1004"/>
        </w:numPr>
      </w:pPr>
      <w:r>
        <w:t xml:space="preserve">Supply-chain response and any framing on</w:t>
      </w:r>
      <w:r>
        <w:t xml:space="preserve"> </w:t>
      </w:r>
      <w:r>
        <w:rPr>
          <w:b/>
          <w:bCs/>
        </w:rPr>
        <w:t xml:space="preserve">liability/legal</w:t>
      </w:r>
      <w:r>
        <w:t xml:space="preserve">.</w:t>
      </w:r>
    </w:p>
    <w:p>
      <w:pPr>
        <w:pStyle w:val="Compact"/>
        <w:numPr>
          <w:ilvl w:val="0"/>
          <w:numId w:val="1004"/>
        </w:numPr>
      </w:pPr>
      <w:r>
        <w:t xml:space="preserve">Whether damage is contained to certain regions/dayparts.</w:t>
      </w:r>
    </w:p>
    <w:p>
      <w:r>
        <w:pict>
          <v:rect style="width:0;height:1.5pt" o:hralign="center" o:hrstd="t" o:hr="t"/>
        </w:pict>
      </w:r>
    </w:p>
    <w:bookmarkEnd w:id="12"/>
    <w:bookmarkStart w:id="13" w:name="X0ec23c06d701e844e6854b734c5dcfb10350a84"/>
    <w:p>
      <w:pPr>
        <w:pStyle w:val="Heading2"/>
      </w:pPr>
      <w:r>
        <w:t xml:space="preserve">Issue #2: The Pizza Hut Sale — A New, Simpler Yum!</w:t>
      </w:r>
    </w:p>
    <w:p>
      <w:pPr>
        <w:pStyle w:val="FirstParagraph"/>
      </w:pPr>
      <w:r>
        <w:t xml:space="preserve">On</w:t>
      </w:r>
      <w:r>
        <w:t xml:space="preserve"> </w:t>
      </w:r>
      <w:r>
        <w:rPr>
          <w:b/>
          <w:bCs/>
        </w:rPr>
        <w:t xml:space="preserve">June 16, 2026</w:t>
      </w:r>
      <w:r>
        <w:t xml:space="preserve">, Yum! agreed to sell Pizza Hut for</w:t>
      </w:r>
      <w:r>
        <w:t xml:space="preserve"> </w:t>
      </w:r>
      <w:r>
        <w:rPr>
          <w:b/>
          <w:bCs/>
        </w:rPr>
        <w:t xml:space="preserve">~$2.7 billion</w:t>
      </w:r>
      <w:r>
        <w:t xml:space="preserve"> </w:t>
      </w:r>
      <w:r>
        <w:t xml:space="preserve">in two deals:</w:t>
      </w:r>
    </w:p>
    <w:p>
      <w:pPr>
        <w:pStyle w:val="Compact"/>
        <w:numPr>
          <w:ilvl w:val="0"/>
          <w:numId w:val="1005"/>
        </w:numPr>
      </w:pPr>
      <w:r>
        <w:rPr>
          <w:b/>
          <w:bCs/>
        </w:rPr>
        <w:t xml:space="preserve">LongRange Capital</w:t>
      </w:r>
      <w:r>
        <w:t xml:space="preserve"> </w:t>
      </w:r>
      <w:r>
        <w:t xml:space="preserve">(a PE firm) buys Pizza Hut</w:t>
      </w:r>
      <w:r>
        <w:t xml:space="preserve"> </w:t>
      </w:r>
      <w:r>
        <w:rPr>
          <w:b/>
          <w:bCs/>
        </w:rPr>
        <w:t xml:space="preserve">ex-Mainland China</w:t>
      </w:r>
      <w:r>
        <w:t xml:space="preserve"> </w:t>
      </w:r>
      <w:r>
        <w:t xml:space="preserve">for ~</w:t>
      </w:r>
      <w:r>
        <w:rPr>
          <w:b/>
          <w:bCs/>
        </w:rPr>
        <w:t xml:space="preserve">$1.5B</w:t>
      </w:r>
      <w:r>
        <w:t xml:space="preserve">.</w:t>
      </w:r>
    </w:p>
    <w:p>
      <w:pPr>
        <w:pStyle w:val="Compact"/>
        <w:numPr>
          <w:ilvl w:val="0"/>
          <w:numId w:val="1005"/>
        </w:numPr>
      </w:pPr>
      <w:r>
        <w:rPr>
          <w:b/>
          <w:bCs/>
        </w:rPr>
        <w:t xml:space="preserve">Yum China (YUMC)</w:t>
      </w:r>
      <w:r>
        <w:t xml:space="preserve"> </w:t>
      </w:r>
      <w:r>
        <w:t xml:space="preserve">buys</w:t>
      </w:r>
      <w:r>
        <w:t xml:space="preserve"> </w:t>
      </w:r>
      <w:r>
        <w:rPr>
          <w:b/>
          <w:bCs/>
        </w:rPr>
        <w:t xml:space="preserve">Pizza Hut Mainland China</w:t>
      </w:r>
      <w:r>
        <w:t xml:space="preserve"> </w:t>
      </w:r>
      <w:r>
        <w:t xml:space="preserve">for ~</w:t>
      </w:r>
      <w:r>
        <w:rPr>
          <w:b/>
          <w:bCs/>
        </w:rPr>
        <w:t xml:space="preserve">$1.2B</w:t>
      </w:r>
      <w:r>
        <w:t xml:space="preserve">.</w:t>
      </w:r>
    </w:p>
    <w:p>
      <w:pPr>
        <w:pStyle w:val="Compact"/>
        <w:numPr>
          <w:ilvl w:val="0"/>
          <w:numId w:val="1005"/>
        </w:numPr>
      </w:pPr>
      <w:r>
        <w:t xml:space="preserve">Both expected to</w:t>
      </w:r>
      <w:r>
        <w:t xml:space="preserve"> </w:t>
      </w:r>
      <w:r>
        <w:rPr>
          <w:b/>
          <w:bCs/>
        </w:rPr>
        <w:t xml:space="preserve">close in Q3 2026</w:t>
      </w:r>
      <w:r>
        <w:t xml:space="preserve">. Reports also pointed to a large (</w:t>
      </w:r>
      <w:r>
        <w:rPr>
          <w:b/>
          <w:bCs/>
        </w:rPr>
        <w:t xml:space="preserve">~$4B</w:t>
      </w:r>
      <w:r>
        <w:t xml:space="preserve">) buyback authorization alongside the news, consistent with management's Q1 commentary about upsizing debt and returning excess capital.</w:t>
      </w:r>
    </w:p>
    <w:p>
      <w:pPr>
        <w:pStyle w:val="FirstParagraph"/>
      </w:pPr>
      <w:r>
        <w:rPr>
          <w:b/>
          <w:bCs/>
        </w:rPr>
        <w:t xml:space="preserve">Why it's strategically important:</w:t>
      </w:r>
    </w:p>
    <w:p>
      <w:pPr>
        <w:pStyle w:val="Compact"/>
        <w:numPr>
          <w:ilvl w:val="0"/>
          <w:numId w:val="1006"/>
        </w:numPr>
      </w:pPr>
      <w:r>
        <w:t xml:space="preserve">Pizza Hut was the drag — Q1 divisional operating profit fell 14–16%, U.S. comps were negative (-4%), and the brand has structural problems (oversized "red-roof" U.S. footprint, delivery competition from Domino's/Papa John's, weak franchisee reinvestment).</w:t>
      </w:r>
    </w:p>
    <w:p>
      <w:pPr>
        <w:pStyle w:val="Compact"/>
        <w:numPr>
          <w:ilvl w:val="0"/>
          <w:numId w:val="1006"/>
        </w:numPr>
      </w:pPr>
      <w:r>
        <w:t xml:space="preserve">Post-deal, Yum! becomes a cleaner</w:t>
      </w:r>
      <w:r>
        <w:t xml:space="preserve"> </w:t>
      </w:r>
      <w:r>
        <w:rPr>
          <w:b/>
          <w:bCs/>
        </w:rPr>
        <w:t xml:space="preserve">two-engine growth story: KFC (global unit growth machine) + Taco Bell (best-in-class U.S. QSR)</w:t>
      </w:r>
      <w:r>
        <w:t xml:space="preserve">, which should support</w:t>
      </w:r>
      <w:r>
        <w:t xml:space="preserve"> </w:t>
      </w:r>
      <w:r>
        <w:rPr>
          <w:b/>
          <w:bCs/>
        </w:rPr>
        <w:t xml:space="preserve">faster growth, margin expansion, and multiple re-rating</w:t>
      </w:r>
      <w:r>
        <w:t xml:space="preserve">.</w:t>
      </w:r>
    </w:p>
    <w:p>
      <w:pPr>
        <w:pStyle w:val="FirstParagraph"/>
      </w:pPr>
      <w:r>
        <w:rPr>
          <w:b/>
          <w:bCs/>
        </w:rPr>
        <w:t xml:space="preserve">What to listen for:</w:t>
      </w:r>
      <w:r>
        <w:t xml:space="preserve"> </w:t>
      </w:r>
      <w:r>
        <w:t xml:space="preserve">Updated capital-return plans, use of proceeds, the new "clean" earnings algorithm/guidance ex-Pizza Hut, and any G&amp;A reset (management has hinted AI + a leaner org could bend the G&amp;A curve post-separation).</w:t>
      </w:r>
    </w:p>
    <w:p>
      <w:r>
        <w:pict>
          <v:rect style="width:0;height:1.5pt" o:hralign="center" o:hrstd="t" o:hr="t"/>
        </w:pict>
      </w:r>
    </w:p>
    <w:bookmarkEnd w:id="13"/>
    <w:bookmarkStart w:id="14" w:name="X21de826d9f49630721592c657c5706c3ef13550"/>
    <w:p>
      <w:pPr>
        <w:pStyle w:val="Heading2"/>
      </w:pPr>
      <w:r>
        <w:t xml:space="preserve">Issue #3: The Underlying Engines Still Look Healthy</w:t>
      </w:r>
    </w:p>
    <w:p>
      <w:pPr>
        <w:pStyle w:val="FirstParagraph"/>
      </w:pPr>
      <w:r>
        <w:t xml:space="preserve">Don't lose the signal in the outbreak noise. Coming out of Q1:</w:t>
      </w:r>
    </w:p>
    <w:p>
      <w:pPr>
        <w:pStyle w:val="Compact"/>
        <w:numPr>
          <w:ilvl w:val="0"/>
          <w:numId w:val="1007"/>
        </w:numPr>
      </w:pPr>
      <w:r>
        <w:rPr>
          <w:b/>
          <w:bCs/>
        </w:rPr>
        <w:t xml:space="preserve">Taco Bell:</w:t>
      </w:r>
      <w:r>
        <w:t xml:space="preserve"> </w:t>
      </w:r>
      <w:r>
        <w:t xml:space="preserve">+8% U.S. comps (18% on a 2-year stack), transaction-led, Luxe Value Menu resonating, ~50% digital mix, loyalty sales +30%, and a big innovation/beverage pipeline (Live Más Café). Management</w:t>
      </w:r>
      <w:r>
        <w:t xml:space="preserve"> </w:t>
      </w:r>
      <w:r>
        <w:rPr>
          <w:b/>
          <w:bCs/>
        </w:rPr>
        <w:t xml:space="preserve">raised full-year Taco Bell U.S. restaurant-margin guidance to 24.5%–25.5%</w:t>
      </w:r>
      <w:r>
        <w:t xml:space="preserve">. This is the crown jewel — and the brand under a cloud.</w:t>
      </w:r>
    </w:p>
    <w:p>
      <w:pPr>
        <w:pStyle w:val="Compact"/>
        <w:numPr>
          <w:ilvl w:val="0"/>
          <w:numId w:val="1007"/>
        </w:numPr>
      </w:pPr>
      <w:r>
        <w:rPr>
          <w:b/>
          <w:bCs/>
        </w:rPr>
        <w:t xml:space="preserve">KFC:</w:t>
      </w:r>
      <w:r>
        <w:t xml:space="preserve"> </w:t>
      </w:r>
      <w:r>
        <w:t xml:space="preserve">+6% system sales, +7% unit growth (record Q1 gross builds across 45 countries), international acceleration (UK +7-9%, strong Asia/India/Middle East/LatAm). KFC U.S. remains the soft spot (comps -2%), with a turnaround underway (Saucy learnings, revamped</w:t>
      </w:r>
      <w:r>
        <w:t xml:space="preserve"> </w:t>
      </w:r>
      <m:oMath>
        <m:r>
          <m:t>7</m:t>
        </m:r>
        <m:r>
          <m:rPr>
            <m:sty m:val="p"/>
          </m:rPr>
          <m:t>/</m:t>
        </m:r>
      </m:oMath>
      <w:r>
        <w:t xml:space="preserve">9/$11 value, Matty Matheson partnership). Note Yum! has</w:t>
      </w:r>
      <w:r>
        <w:t xml:space="preserve"> </w:t>
      </w:r>
      <w:r>
        <w:rPr>
          <w:b/>
          <w:bCs/>
        </w:rPr>
        <w:t xml:space="preserve">de-emphasized KFC U.S. disclosure</w:t>
      </w:r>
      <w:r>
        <w:t xml:space="preserve"> </w:t>
      </w:r>
      <w:r>
        <w:t xml:space="preserve">(now &lt;5% of ex-Pizza Hut profit).</w:t>
      </w:r>
    </w:p>
    <w:p>
      <w:pPr>
        <w:pStyle w:val="Compact"/>
        <w:numPr>
          <w:ilvl w:val="0"/>
          <w:numId w:val="1007"/>
        </w:numPr>
      </w:pPr>
      <w:r>
        <w:rPr>
          <w:b/>
          <w:bCs/>
        </w:rPr>
        <w:t xml:space="preserve">Digital/Byte/AI:</w:t>
      </w:r>
      <w:r>
        <w:t xml:space="preserve"> </w:t>
      </w:r>
      <w:r>
        <w:t xml:space="preserve">Record 63% digital mix, ~$11B digital sales, and AI use cases (drive-thru A/B testing, ordering, back-office productivity) — a recurring margin/growth theme.</w:t>
      </w:r>
    </w:p>
    <w:p>
      <w:pPr>
        <w:pStyle w:val="FirstParagraph"/>
      </w:pPr>
      <w:r>
        <w:rPr>
          <w:b/>
          <w:bCs/>
        </w:rPr>
        <w:t xml:space="preserve">Model housekeeping for Q2 (from Q1 guidance):</w:t>
      </w:r>
    </w:p>
    <w:p>
      <w:pPr>
        <w:pStyle w:val="Compact"/>
        <w:numPr>
          <w:ilvl w:val="0"/>
          <w:numId w:val="1008"/>
        </w:numPr>
      </w:pPr>
      <w:r>
        <w:t xml:space="preserve">Ex-special, ex-Pizza Hut</w:t>
      </w:r>
      <w:r>
        <w:t xml:space="preserve"> </w:t>
      </w:r>
      <w:r>
        <w:rPr>
          <w:b/>
          <w:bCs/>
        </w:rPr>
        <w:t xml:space="preserve">G&amp;A up high-single-digits in Q2</w:t>
      </w:r>
      <w:r>
        <w:t xml:space="preserve"> </w:t>
      </w:r>
      <w:r>
        <w:t xml:space="preserve">specifically (timing of project spend) — could optically pressure the quarter.</w:t>
      </w:r>
    </w:p>
    <w:p>
      <w:pPr>
        <w:pStyle w:val="Compact"/>
        <w:numPr>
          <w:ilvl w:val="0"/>
          <w:numId w:val="1008"/>
        </w:numPr>
      </w:pPr>
      <w:r>
        <w:t xml:space="preserve">~</w:t>
      </w:r>
      <w:r>
        <w:rPr>
          <w:b/>
          <w:bCs/>
        </w:rPr>
        <w:t xml:space="preserve">$5M non-cash Habit closure</w:t>
      </w:r>
      <w:r>
        <w:t xml:space="preserve"> </w:t>
      </w:r>
      <w:r>
        <w:t xml:space="preserve">expense expected.</w:t>
      </w:r>
    </w:p>
    <w:p>
      <w:pPr>
        <w:pStyle w:val="Compact"/>
        <w:numPr>
          <w:ilvl w:val="0"/>
          <w:numId w:val="1008"/>
        </w:numPr>
      </w:pPr>
      <w:r>
        <w:t xml:space="preserve">Pizza Hut Q2 core operating profit guided to ~</w:t>
      </w:r>
      <w:r>
        <w:rPr>
          <w:b/>
          <w:bCs/>
        </w:rPr>
        <w:t xml:space="preserve">$17M</w:t>
      </w:r>
      <w:r>
        <w:t xml:space="preserve"> </w:t>
      </w:r>
      <w:r>
        <w:t xml:space="preserve">(includes one-time "Hut Forward" investment).</w:t>
      </w:r>
    </w:p>
    <w:p>
      <w:pPr>
        <w:pStyle w:val="Compact"/>
        <w:numPr>
          <w:ilvl w:val="0"/>
          <w:numId w:val="1008"/>
        </w:numPr>
      </w:pPr>
      <w:r>
        <w:t xml:space="preserve">FY interest expense guided</w:t>
      </w:r>
      <w:r>
        <w:t xml:space="preserve"> </w:t>
      </w:r>
      <w:r>
        <w:rPr>
          <w:b/>
          <w:bCs/>
        </w:rPr>
        <w:t xml:space="preserve">$510–520M</w:t>
      </w:r>
      <w:r>
        <w:t xml:space="preserve">; net leverage ~3.8x (targets ~4x).</w:t>
      </w:r>
    </w:p>
    <w:p>
      <w:pPr>
        <w:pStyle w:val="Compact"/>
        <w:numPr>
          <w:ilvl w:val="0"/>
          <w:numId w:val="1008"/>
        </w:numPr>
      </w:pPr>
      <w:r>
        <w:t xml:space="preserve">Long-term algorithm:</w:t>
      </w:r>
      <w:r>
        <w:t xml:space="preserve"> </w:t>
      </w:r>
      <w:r>
        <w:rPr>
          <w:b/>
          <w:bCs/>
        </w:rPr>
        <w:t xml:space="preserve">5% unit growth / 7% system sales growth / ≥8% core operating profit growth</w:t>
      </w:r>
      <w:r>
        <w:t xml:space="preserve">.</w:t>
      </w:r>
    </w:p>
    <w:p>
      <w:r>
        <w:pict>
          <v:rect style="width:0;height:1.5pt" o:hralign="center" o:hrstd="t" o:hr="t"/>
        </w:pict>
      </w:r>
    </w:p>
    <w:bookmarkEnd w:id="14"/>
    <w:bookmarkStart w:id="15" w:name="bottom-line--how-to-frame-the-reaction"/>
    <w:p>
      <w:pPr>
        <w:pStyle w:val="Heading2"/>
      </w:pPr>
      <w:r>
        <w:t xml:space="preserve">Bottom Line / How to Frame the Reaction</w:t>
      </w:r>
    </w:p>
    <w:p>
      <w:pPr>
        <w:pStyle w:val="Compact"/>
        <w:numPr>
          <w:ilvl w:val="0"/>
          <w:numId w:val="1009"/>
        </w:numPr>
      </w:pPr>
      <w:r>
        <w:rPr>
          <w:b/>
          <w:bCs/>
        </w:rPr>
        <w:t xml:space="preserve">The Q2 print itself is likely a non-event on the numbers</w:t>
      </w:r>
      <w:r>
        <w:t xml:space="preserve"> </w:t>
      </w:r>
      <w:r>
        <w:t xml:space="preserve">— Taco Bell strength, KFC unit growth, and Pizza Hut being sold all argue for a solid, in-line-to-better quarter (Street ~$1.57 EPS, ~+2.85% blended comps).</w:t>
      </w:r>
    </w:p>
    <w:p>
      <w:pPr>
        <w:pStyle w:val="Compact"/>
        <w:numPr>
          <w:ilvl w:val="0"/>
          <w:numId w:val="1009"/>
        </w:numPr>
      </w:pPr>
      <w:r>
        <w:rPr>
          <w:b/>
          <w:bCs/>
        </w:rPr>
        <w:t xml:space="preserve">The stock's reaction hinges on the outbreak commentary</w:t>
      </w:r>
      <w:r>
        <w:t xml:space="preserve"> </w:t>
      </w:r>
      <w:r>
        <w:t xml:space="preserve">— specifically any quantified July/Q3 Taco Bell traffic impact and whether management frames it as a contained, McDonald's-style event vs. a lingering trust issue.</w:t>
      </w:r>
    </w:p>
    <w:p>
      <w:pPr>
        <w:pStyle w:val="Compact"/>
        <w:numPr>
          <w:ilvl w:val="0"/>
          <w:numId w:val="1009"/>
        </w:numPr>
      </w:pPr>
      <w:r>
        <w:rPr>
          <w:b/>
          <w:bCs/>
        </w:rPr>
        <w:t xml:space="preserve">Watch the new post-Pizza Hut capital-return and guidance framework</w:t>
      </w:r>
      <w:r>
        <w:t xml:space="preserve"> </w:t>
      </w:r>
      <w:r>
        <w:t xml:space="preserve">— this could be the more durable positive catalyst if the outbreak proves transitory.</w:t>
      </w:r>
    </w:p>
    <w:p>
      <w:pPr>
        <w:pStyle w:val="FirstParagraph"/>
      </w:pPr>
      <w:r>
        <w:rPr>
          <w:b/>
          <w:bCs/>
        </w:rPr>
        <w:t xml:space="preserve">Skew:</w:t>
      </w:r>
      <w:r>
        <w:t xml:space="preserve"> </w:t>
      </w:r>
      <w:r>
        <w:t xml:space="preserve">With the stock already down ~9% from its early-July peak and sentiment cautious, the bar on the outbreak is arguably low. A "lettuce was the isolated cause, traffic is already recovering, and here's our bigger buyback" message could be the setup for a relief rally; a vague or worsening food-safety update is the main downside risk.</w:t>
      </w:r>
    </w:p>
    <w:p>
      <w:r>
        <w:pict>
          <v:rect style="width:0;height:1.5pt" o:hralign="center" o:hrstd="t" o:hr="t"/>
        </w:pict>
      </w:r>
    </w:p>
    <w:p>
      <w:pPr>
        <w:pStyle w:val="FirstParagraph"/>
      </w:pPr>
      <w:r>
        <w:rPr>
          <w:i/>
          <w:iCs/>
        </w:rPr>
        <w:t xml:space="preserve">Note: All price levels are as of the July 29 close (~$152). Figures reflect Q1 2026 actuals, company guidance, and Street/press estimates compiled ahead of the report; actual Q2 results and any updated guidance will supersede these.</w:t>
      </w:r>
    </w:p>
    <w:bookmarkEnd w:id="15"/>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000">
    <w:abstractNumId w:val="990"/>
  </w:num>
  <w:num w:numId="1001">
    <w:abstractNumId w:val="991"/>
  </w:num>
  <w:num w:numId="1002">
    <w:abstractNumId w:val="991"/>
  </w:num>
  <w:num w:numId="1003">
    <w:abstractNumId w:val="991"/>
  </w:num>
  <w:num w:numId="100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abstractNumId w:val="991"/>
  </w:num>
  <w:num w:numId="1006">
    <w:abstractNumId w:val="991"/>
  </w:num>
  <w:num w:numId="1007">
    <w:abstractNumId w:val="991"/>
  </w:num>
  <w:num w:numId="1008">
    <w:abstractNumId w:val="991"/>
  </w:num>
  <w:num w:numId="1009">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2026-07-29T17:57:00Z</dcterms:created>
  <dcterms:modified xsi:type="dcterms:W3CDTF">2026-07-29T17:57:00Z</dcterms:modified>
</cp:coreProperties>
</file>

<file path=docProps/custom.xml><?xml version="1.0" encoding="utf-8"?>
<Properties xmlns="http://schemas.openxmlformats.org/officeDocument/2006/custom-properties" xmlns:vt="http://schemas.openxmlformats.org/officeDocument/2006/docPropsVTypes"/>
</file>