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 w:name="yum-earnings-predictions--2026-07-30"/>
    <w:p>
      <w:pPr>
        <w:pStyle w:val="Heading1"/>
      </w:pPr>
      <w:r>
        <w:t xml:space="preserve">YUM Earnings Predictions — 2026-07-30</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Ticker</w:t>
            </w:r>
          </w:p>
        </w:tc>
        <w:tc>
          <w:tcPr/>
          <w:p>
            <w:pPr>
              <w:pStyle w:val="Compact"/>
            </w:pPr>
            <w:r>
              <w:t xml:space="preserve">Report or Guide</w:t>
            </w:r>
          </w:p>
        </w:tc>
        <w:tc>
          <w:tcPr/>
          <w:p>
            <w:pPr>
              <w:pStyle w:val="Compact"/>
            </w:pPr>
            <w:r>
              <w:t xml:space="preserve">KPI</w:t>
            </w:r>
          </w:p>
        </w:tc>
        <w:tc>
          <w:tcPr/>
          <w:p>
            <w:pPr>
              <w:pStyle w:val="Compact"/>
            </w:pPr>
            <w:r>
              <w:t xml:space="preserve">Prediction</w:t>
            </w:r>
          </w:p>
        </w:tc>
        <w:tc>
          <w:tcPr/>
          <w:p>
            <w:pPr>
              <w:pStyle w:val="Compact"/>
            </w:pPr>
            <w:r>
              <w:t xml:space="preserve">Answer</w:t>
            </w:r>
          </w:p>
        </w:tc>
        <w:tc>
          <w:tcPr/>
          <w:p>
            <w:pPr>
              <w:pStyle w:val="Compact"/>
            </w:pPr>
            <w:r>
              <w:t xml:space="preserve">Confidence</w:t>
            </w:r>
          </w:p>
        </w:tc>
      </w:tr>
      <w:tr>
        <w:tc>
          <w:tcPr/>
          <w:p>
            <w:pPr>
              <w:pStyle w:val="Compact"/>
            </w:pPr>
            <w:r>
              <w:t xml:space="preserve">YUM</w:t>
            </w:r>
          </w:p>
        </w:tc>
        <w:tc>
          <w:tcPr/>
          <w:p>
            <w:pPr>
              <w:pStyle w:val="Compact"/>
            </w:pPr>
            <w:r>
              <w:t xml:space="preserve">Report</w:t>
            </w:r>
          </w:p>
        </w:tc>
        <w:tc>
          <w:tcPr/>
          <w:p>
            <w:pPr>
              <w:pStyle w:val="Compact"/>
            </w:pPr>
            <w:r>
              <w:t xml:space="preserve">Adjusted EPS (Q2 2026)</w:t>
            </w:r>
          </w:p>
        </w:tc>
        <w:tc>
          <w:tcPr/>
          <w:p>
            <w:pPr>
              <w:pStyle w:val="Compact"/>
            </w:pPr>
            <w:r>
              <w:t xml:space="preserve">BEAT</w:t>
            </w:r>
          </w:p>
        </w:tc>
        <w:tc>
          <w:tcPr/>
          <w:p>
            <w:pPr>
              <w:pStyle w:val="Compact"/>
            </w:pPr>
            <w:r>
              <w:t xml:space="preserve">pred ~$1.61 vs. cons $1.57</w:t>
            </w:r>
          </w:p>
        </w:tc>
        <w:tc>
          <w:tcPr/>
          <w:p>
            <w:pPr>
              <w:pStyle w:val="Compact"/>
            </w:pPr>
            <w:r>
              <w:t xml:space="preserve">MEDIUM</w:t>
            </w:r>
          </w:p>
        </w:tc>
      </w:tr>
      <w:tr>
        <w:tc>
          <w:tcPr/>
          <w:p>
            <w:pPr>
              <w:pStyle w:val="Compact"/>
            </w:pPr>
            <w:r>
              <w:t xml:space="preserve">YUM</w:t>
            </w:r>
          </w:p>
        </w:tc>
        <w:tc>
          <w:tcPr/>
          <w:p>
            <w:pPr>
              <w:pStyle w:val="Compact"/>
            </w:pPr>
            <w:r>
              <w:t xml:space="preserve">Report</w:t>
            </w:r>
          </w:p>
        </w:tc>
        <w:tc>
          <w:tcPr/>
          <w:p>
            <w:pPr>
              <w:pStyle w:val="Compact"/>
            </w:pPr>
            <w:r>
              <w:t xml:space="preserve">Taco Bell U.S. same-store sales growth</w:t>
            </w:r>
          </w:p>
        </w:tc>
        <w:tc>
          <w:tcPr/>
          <w:p>
            <w:pPr>
              <w:pStyle w:val="Compact"/>
            </w:pPr>
            <w:r>
              <w:t xml:space="preserve">BEAT</w:t>
            </w:r>
          </w:p>
        </w:tc>
        <w:tc>
          <w:tcPr/>
          <w:p>
            <w:pPr>
              <w:pStyle w:val="Compact"/>
            </w:pPr>
            <w:r>
              <w:t xml:space="preserve">pred ~+7.5% vs. cons +6.4%</w:t>
            </w:r>
          </w:p>
        </w:tc>
        <w:tc>
          <w:tcPr/>
          <w:p>
            <w:pPr>
              <w:pStyle w:val="Compact"/>
            </w:pPr>
            <w:r>
              <w:t xml:space="preserve">MEDIUM</w:t>
            </w:r>
          </w:p>
        </w:tc>
      </w:tr>
      <w:tr>
        <w:tc>
          <w:tcPr/>
          <w:p>
            <w:pPr>
              <w:pStyle w:val="Compact"/>
            </w:pPr>
            <w:r>
              <w:t xml:space="preserve">YUM</w:t>
            </w:r>
          </w:p>
        </w:tc>
        <w:tc>
          <w:tcPr/>
          <w:p>
            <w:pPr>
              <w:pStyle w:val="Compact"/>
            </w:pPr>
            <w:r>
              <w:t xml:space="preserve">Report</w:t>
            </w:r>
          </w:p>
        </w:tc>
        <w:tc>
          <w:tcPr/>
          <w:p>
            <w:pPr>
              <w:pStyle w:val="Compact"/>
            </w:pPr>
            <w:r>
              <w:t xml:space="preserve">KFC global same-store sales growth</w:t>
            </w:r>
          </w:p>
        </w:tc>
        <w:tc>
          <w:tcPr/>
          <w:p>
            <w:pPr>
              <w:pStyle w:val="Compact"/>
            </w:pPr>
            <w:r>
              <w:t xml:space="preserve">IN-LINE</w:t>
            </w:r>
          </w:p>
        </w:tc>
        <w:tc>
          <w:tcPr/>
          <w:p>
            <w:pPr>
              <w:pStyle w:val="Compact"/>
            </w:pPr>
            <w:r>
              <w:t xml:space="preserve">pred ~+2.0% vs. cons +2.1%</w:t>
            </w:r>
          </w:p>
        </w:tc>
        <w:tc>
          <w:tcPr/>
          <w:p>
            <w:pPr>
              <w:pStyle w:val="Compact"/>
            </w:pPr>
            <w:r>
              <w:t xml:space="preserve">LOW</w:t>
            </w:r>
          </w:p>
        </w:tc>
      </w:tr>
      <w:tr>
        <w:tc>
          <w:tcPr/>
          <w:p>
            <w:pPr>
              <w:pStyle w:val="Compact"/>
            </w:pPr>
            <w:r>
              <w:t xml:space="preserve">YUM</w:t>
            </w:r>
          </w:p>
        </w:tc>
        <w:tc>
          <w:tcPr/>
          <w:p>
            <w:pPr>
              <w:pStyle w:val="Compact"/>
            </w:pPr>
            <w:r>
              <w:t xml:space="preserve">Guide</w:t>
            </w:r>
          </w:p>
        </w:tc>
        <w:tc>
          <w:tcPr/>
          <w:p>
            <w:pPr>
              <w:pStyle w:val="Compact"/>
            </w:pPr>
            <w:r>
              <w:t xml:space="preserve">Taco Bell Q3-to-date U.S. same-store sales/traffic commentary</w:t>
            </w:r>
          </w:p>
        </w:tc>
        <w:tc>
          <w:tcPr/>
          <w:p>
            <w:pPr>
              <w:pStyle w:val="Compact"/>
            </w:pPr>
            <w:r>
              <w:t xml:space="preserve">LOWER</w:t>
            </w:r>
          </w:p>
        </w:tc>
        <w:tc>
          <w:tcPr/>
          <w:p>
            <w:pPr>
              <w:pStyle w:val="Compact"/>
            </w:pPr>
            <w:r>
              <w:t xml:space="preserve">guide ~-4% to -6% (traffic-implied) vs. cons ~+1.0% pre-outbreak run-rate (Q3 2026)</w:t>
            </w:r>
          </w:p>
        </w:tc>
        <w:tc>
          <w:tcPr/>
          <w:p>
            <w:pPr>
              <w:pStyle w:val="Compact"/>
            </w:pPr>
            <w:r>
              <w:t xml:space="preserve">HIGH</w:t>
            </w:r>
          </w:p>
        </w:tc>
      </w:tr>
      <w:tr>
        <w:tc>
          <w:tcPr/>
          <w:p>
            <w:pPr>
              <w:pStyle w:val="Compact"/>
            </w:pPr>
            <w:r>
              <w:t xml:space="preserve">YUM</w:t>
            </w:r>
          </w:p>
        </w:tc>
        <w:tc>
          <w:tcPr/>
          <w:p>
            <w:pPr>
              <w:pStyle w:val="Compact"/>
            </w:pPr>
            <w:r>
              <w:t xml:space="preserve">Guide</w:t>
            </w:r>
          </w:p>
        </w:tc>
        <w:tc>
          <w:tcPr/>
          <w:p>
            <w:pPr>
              <w:pStyle w:val="Compact"/>
            </w:pPr>
            <w:r>
              <w:t xml:space="preserve">FY2026 Taco Bell U.S. restaurant margin guidance</w:t>
            </w:r>
          </w:p>
        </w:tc>
        <w:tc>
          <w:tcPr/>
          <w:p>
            <w:pPr>
              <w:pStyle w:val="Compact"/>
            </w:pPr>
            <w:r>
              <w:t xml:space="preserve">LOWER</w:t>
            </w:r>
          </w:p>
        </w:tc>
        <w:tc>
          <w:tcPr/>
          <w:p>
            <w:pPr>
              <w:pStyle w:val="Compact"/>
            </w:pPr>
            <w:r>
              <w:t xml:space="preserve">guide ~23.0-24.0% vs. cons/prior guide 24.5-25.5% (FY2026)</w:t>
            </w:r>
          </w:p>
        </w:tc>
        <w:tc>
          <w:tcPr/>
          <w:p>
            <w:pPr>
              <w:pStyle w:val="Compact"/>
            </w:pPr>
            <w:r>
              <w:t xml:space="preserve">MEDIUM</w:t>
            </w:r>
          </w:p>
        </w:tc>
      </w:tr>
      <w:tr>
        <w:tc>
          <w:tcPr/>
          <w:p>
            <w:pPr>
              <w:pStyle w:val="Compact"/>
            </w:pPr>
            <w:r>
              <w:t xml:space="preserve">YUM</w:t>
            </w:r>
          </w:p>
        </w:tc>
        <w:tc>
          <w:tcPr/>
          <w:p>
            <w:pPr>
              <w:pStyle w:val="Compact"/>
            </w:pPr>
            <w:r>
              <w:t xml:space="preserve">Guide</w:t>
            </w:r>
          </w:p>
        </w:tc>
        <w:tc>
          <w:tcPr/>
          <w:p>
            <w:pPr>
              <w:pStyle w:val="Compact"/>
            </w:pPr>
            <w:r>
              <w:t xml:space="preserve">FY2026 core operating profit growth algorithm (ex-Pizza Hut)</w:t>
            </w:r>
          </w:p>
        </w:tc>
        <w:tc>
          <w:tcPr/>
          <w:p>
            <w:pPr>
              <w:pStyle w:val="Compact"/>
            </w:pPr>
            <w:r>
              <w:t xml:space="preserve">LOWER</w:t>
            </w:r>
          </w:p>
        </w:tc>
        <w:tc>
          <w:tcPr/>
          <w:p>
            <w:pPr>
              <w:pStyle w:val="Compact"/>
            </w:pPr>
            <w:r>
              <w:t xml:space="preserve">guide ~5-6% vs. cons/prior algorithm 8%+ (FY2026)</w:t>
            </w:r>
          </w:p>
        </w:tc>
        <w:tc>
          <w:tcPr/>
          <w:p>
            <w:pPr>
              <w:pStyle w:val="Compact"/>
            </w:pPr>
            <w:r>
              <w:t xml:space="preserve">MEDIUM</w:t>
            </w:r>
          </w:p>
        </w:tc>
      </w:tr>
      <w:tr>
        <w:tc>
          <w:tcPr/>
          <w:p>
            <w:pPr>
              <w:pStyle w:val="Compact"/>
            </w:pPr>
            <w:r>
              <w:t xml:space="preserve">YUM</w:t>
            </w:r>
          </w:p>
        </w:tc>
        <w:tc>
          <w:tcPr/>
          <w:p>
            <w:pPr>
              <w:pStyle w:val="Compact"/>
            </w:pPr>
            <w:r>
              <w:t xml:space="preserve">Return</w:t>
            </w:r>
          </w:p>
        </w:tc>
        <w:tc>
          <w:tcPr/>
          <w:p>
            <w:pPr>
              <w:pStyle w:val="Compact"/>
            </w:pPr>
            <w:r>
              <w:t xml:space="preserve">Day-1 residual (stock − beta × S&amp;P 500)</w:t>
            </w:r>
          </w:p>
        </w:tc>
        <w:tc>
          <w:tcPr/>
          <w:p>
            <w:pPr>
              <w:pStyle w:val="Compact"/>
            </w:pPr>
            <w:r>
              <w:t xml:space="preserve">-2.5%</w:t>
            </w:r>
          </w:p>
        </w:tc>
        <w:tc>
          <w:tcPr/>
          <w:p>
            <w:pPr>
              <w:pStyle w:val="Compact"/>
            </w:pPr>
            <w:r>
              <w:t xml:space="preserve">—</w:t>
            </w:r>
          </w:p>
        </w:tc>
        <w:tc>
          <w:tcPr/>
          <w:p>
            <w:pPr>
              <w:pStyle w:val="Compact"/>
            </w:pPr>
            <w:r>
              <w:t xml:space="preserve">MEDIUM</w:t>
            </w:r>
          </w:p>
        </w:tc>
      </w:tr>
      <w:tr>
        <w:tc>
          <w:tcPr/>
          <w:p>
            <w:pPr>
              <w:pStyle w:val="Compact"/>
            </w:pPr>
            <w:r>
              <w:t xml:space="preserve">YUM</w:t>
            </w:r>
          </w:p>
        </w:tc>
        <w:tc>
          <w:tcPr/>
          <w:p>
            <w:pPr>
              <w:pStyle w:val="Compact"/>
            </w:pPr>
            <w:r>
              <w:t xml:space="preserve">Return</w:t>
            </w:r>
          </w:p>
        </w:tc>
        <w:tc>
          <w:tcPr/>
          <w:p>
            <w:pPr>
              <w:pStyle w:val="Compact"/>
            </w:pPr>
            <w:r>
              <w:t xml:space="preserve">5-day cumulative residual</w:t>
            </w:r>
          </w:p>
        </w:tc>
        <w:tc>
          <w:tcPr/>
          <w:p>
            <w:pPr>
              <w:pStyle w:val="Compact"/>
            </w:pPr>
            <w:r>
              <w:t xml:space="preserve">-4.5% (FOLLOW-THROUGH)</w:t>
            </w:r>
          </w:p>
        </w:tc>
        <w:tc>
          <w:tcPr/>
          <w:p>
            <w:pPr>
              <w:pStyle w:val="Compact"/>
            </w:pPr>
            <w:r>
              <w:t xml:space="preserve">Q2 print itself (pre-outbreak period) should look clean-to-strong, so the initial print won't be the driver; the call is the first time management quantifies the cyclospora hit with hard Q3-to-date traffic/comp data and any margin drag from value-heavy remediation promotions. Sell-side already trimmed FY26 EPS into the print (7 analysts cut estimates June 30-July 21), but those cuts were directional/qualitative — once management gives explicit Q3 comp/traffic numbers and updated FY margin/op-profit language, analysts will formally rebuild Taco Bell models over the following days, which historically drives further, incremental cuts to out-quarter estimates (the 'implicit cut' math) even if Q2 itself beats. Given the outbreak is still unresolved (no clear inflection in Placer.ai traffic data yet, unlike the McDonald's E. coli precedent which had already begun healing by its print), the path of least resistance for estimate revisions is down, supporting follow-through weakness over the week rather than a snap-back stabilization.</w:t>
            </w:r>
          </w:p>
        </w:tc>
        <w:tc>
          <w:tcPr/>
          <w:p>
            <w:pPr>
              <w:pStyle w:val="Compact"/>
            </w:pPr>
            <w:r>
              <w:t xml:space="preserve">MEDIUM</w:t>
            </w:r>
          </w:p>
        </w:tc>
      </w:tr>
    </w:tbl>
    <w:bookmarkEnd w:id="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2026-07-29T17:58:27Z</dcterms:created>
  <dcterms:modified xsi:type="dcterms:W3CDTF">2026-07-29T17:58:27Z</dcterms:modified>
</cp:coreProperties>
</file>

<file path=docProps/custom.xml><?xml version="1.0" encoding="utf-8"?>
<Properties xmlns="http://schemas.openxmlformats.org/officeDocument/2006/custom-properties" xmlns:vt="http://schemas.openxmlformats.org/officeDocument/2006/docPropsVTypes"/>
</file>