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7" w:name="yum-brands-yum-q2-2026-earnings-preview"/>
    <w:p>
      <w:pPr>
        <w:pStyle w:val="Heading1"/>
      </w:pPr>
      <w:r>
        <w:t xml:space="preserve">Yum! Brands (YUM) Q2 2026 Earnings Preview</w:t>
      </w:r>
    </w:p>
    <w:p>
      <w:pPr>
        <w:pStyle w:val="FirstParagraph"/>
      </w:pPr>
      <w:r>
        <w:rPr>
          <w:b/>
          <w:bCs/>
        </w:rPr>
        <w:t xml:space="preserve">Report Date:</w:t>
      </w:r>
      <w:r>
        <w:t xml:space="preserve"> </w:t>
      </w:r>
      <w:r>
        <w:t xml:space="preserve">Thursday, July 30, 2026, before market open | Conference call to follow</w:t>
      </w:r>
    </w:p>
    <w:p>
      <w:r>
        <w:pict>
          <v:rect style="width:0;height:1.5pt" o:hralign="center" o:hrstd="t" o:hr="t"/>
        </w:pict>
      </w:r>
    </w:p>
    <w:bookmarkStart w:id="9" w:name="setup-into-the-print"/>
    <w:p>
      <w:pPr>
        <w:pStyle w:val="Heading2"/>
      </w:pPr>
      <w:r>
        <w:t xml:space="preserve">Setup Into the Print</w:t>
      </w:r>
    </w:p>
    <w:p>
      <w:pPr>
        <w:pStyle w:val="FirstParagraph"/>
      </w:pPr>
      <w:r>
        <w:t xml:space="preserve">YUM heads into tomorrow's report as a very different company than it was six months ago. Since Q1 earnings, management completed a long-rumored</w:t>
      </w:r>
      <w:r>
        <w:t xml:space="preserve"> </w:t>
      </w:r>
      <w:r>
        <w:rPr>
          <w:b/>
          <w:bCs/>
        </w:rPr>
        <w:t xml:space="preserve">divestiture of Pizza Hut</w:t>
      </w:r>
      <w:r>
        <w:t xml:space="preserve">, and the stock's usual "value + innovation" narrative has been overshadowed in the past two weeks by a</w:t>
      </w:r>
      <w:r>
        <w:t xml:space="preserve"> </w:t>
      </w:r>
      <w:r>
        <w:rPr>
          <w:b/>
          <w:bCs/>
        </w:rPr>
        <w:t xml:space="preserve">food-safety crisis at Taco Bell</w:t>
      </w:r>
      <w:r>
        <w:t xml:space="preserve">. Shares closed at $152.26 on July 29, up modestly from a post-outbreak low near</w:t>
      </w:r>
      <w:r>
        <w:t xml:space="preserve"> </w:t>
      </w:r>
      <m:oMath>
        <m:r>
          <m:t>147</m:t>
        </m:r>
        <m:r>
          <m:rPr>
            <m:sty m:val="p"/>
          </m:rPr>
          <m:t>,</m:t>
        </m:r>
        <m:r>
          <m:t>b</m:t>
        </m:r>
        <m:r>
          <m:t>u</m:t>
        </m:r>
        <m:r>
          <m:t>t</m:t>
        </m:r>
        <m:r>
          <m:t>s</m:t>
        </m:r>
        <m:r>
          <m:t>t</m:t>
        </m:r>
        <m:r>
          <m:t>i</m:t>
        </m:r>
        <m:r>
          <m:t>l</m:t>
        </m:r>
        <m:r>
          <m:t>l</m:t>
        </m:r>
        <m:r>
          <m:t>w</m:t>
        </m:r>
        <m:r>
          <m:t>e</m:t>
        </m:r>
        <m:r>
          <m:t>l</m:t>
        </m:r>
        <m:r>
          <m:t>l</m:t>
        </m:r>
        <m:r>
          <m:t>b</m:t>
        </m:r>
        <m:r>
          <m:t>e</m:t>
        </m:r>
        <m:r>
          <m:t>l</m:t>
        </m:r>
        <m:r>
          <m:t>o</m:t>
        </m:r>
        <m:r>
          <m:t>w</m:t>
        </m:r>
        <m:r>
          <m:t>t</m:t>
        </m:r>
        <m:r>
          <m:t>h</m:t>
        </m:r>
        <m:r>
          <m:t>e</m:t>
        </m:r>
        <m:r>
          <m:t>52</m:t>
        </m:r>
        <m:r>
          <m:rPr>
            <m:sty m:val="p"/>
          </m:rPr>
          <m:t>−</m:t>
        </m:r>
        <m:r>
          <m:t>w</m:t>
        </m:r>
        <m:r>
          <m:t>e</m:t>
        </m:r>
        <m:r>
          <m:t>e</m:t>
        </m:r>
        <m:r>
          <m:t>k</m:t>
        </m:r>
        <m:r>
          <m:t>h</m:t>
        </m:r>
        <m:r>
          <m:t>i</m:t>
        </m:r>
        <m:r>
          <m:t>g</m:t>
        </m:r>
        <m:r>
          <m:t>h</m:t>
        </m:r>
        <m:r>
          <m:t>o</m:t>
        </m:r>
        <m:r>
          <m:t>f</m:t>
        </m:r>
        <m:r>
          <m:t> </m:t>
        </m:r>
      </m:oMath>
      <w:r>
        <w:t xml:space="preserve">168 hit in early July.</w:t>
      </w:r>
    </w:p>
    <w:p>
      <w:pPr>
        <w:pStyle w:val="BodyText"/>
      </w:pPr>
      <w:r>
        <w:t xml:space="preserve">Consensus expects</w:t>
      </w:r>
      <w:r>
        <w:t xml:space="preserve"> </w:t>
      </w:r>
      <w:r>
        <w:rPr>
          <w:b/>
          <w:bCs/>
        </w:rPr>
        <w:t xml:space="preserve">EPS of roughly</w:t>
      </w:r>
      <w:r>
        <w:rPr>
          <w:b/>
          <w:bCs/>
        </w:rPr>
        <w:t xml:space="preserve"> </w:t>
      </w:r>
      <m:oMath>
        <m:r>
          <m:t>1.57</m:t>
        </m:r>
        <m:r>
          <m:rPr>
            <m:sty m:val="p"/>
          </m:rPr>
          <m:t>–</m:t>
        </m:r>
      </m:oMath>
      <w:r>
        <w:rPr>
          <w:b/>
          <w:bCs/>
        </w:rPr>
        <w:t xml:space="preserve">1.58</w:t>
      </w:r>
      <w:r>
        <w:t xml:space="preserve"> </w:t>
      </w:r>
      <w:r>
        <w:t xml:space="preserve">on revenue of about</w:t>
      </w:r>
      <w:r>
        <w:t xml:space="preserve"> </w:t>
      </w:r>
      <w:r>
        <w:rPr>
          <w:b/>
          <w:bCs/>
        </w:rPr>
        <w:t xml:space="preserve">$2.2 billion</w:t>
      </w:r>
      <w:r>
        <w:t xml:space="preserve">, with total company same-store sales growth around</w:t>
      </w:r>
      <w:r>
        <w:t xml:space="preserve"> </w:t>
      </w:r>
      <w:r>
        <w:rPr>
          <w:b/>
          <w:bCs/>
        </w:rPr>
        <w:t xml:space="preserve">+2.85%</w:t>
      </w:r>
      <w:r>
        <w:t xml:space="preserve"> </w:t>
      </w:r>
      <w:r>
        <w:t xml:space="preserve">(Taco Bell ~+6–7%, KFC ~+2%). Reported quarter-end (June) same-store sales predate the outbreak, so the print itself should look clean — the real focus will be forward commentary.</w:t>
      </w:r>
    </w:p>
    <w:p>
      <w:r>
        <w:pict>
          <v:rect style="width:0;height:1.5pt" o:hralign="center" o:hrstd="t" o:hr="t"/>
        </w:pict>
      </w:r>
    </w:p>
    <w:bookmarkEnd w:id="9"/>
    <w:bookmarkStart w:id="12" w:name="what-happened-since-q1"/>
    <w:p>
      <w:pPr>
        <w:pStyle w:val="Heading2"/>
      </w:pPr>
      <w:r>
        <w:t xml:space="preserve">What Happened Since Q1</w:t>
      </w:r>
    </w:p>
    <w:bookmarkStart w:id="10" w:name="Xa1550d25ee1f63f20f66cd93b9517fefe362729"/>
    <w:p>
      <w:pPr>
        <w:pStyle w:val="Heading3"/>
      </w:pPr>
      <w:r>
        <w:t xml:space="preserve">1. Pizza Hut Divestiture Completed</w:t>
      </w:r>
    </w:p>
    <w:p>
      <w:pPr>
        <w:pStyle w:val="FirstParagraph"/>
      </w:pPr>
      <w:r>
        <w:t xml:space="preserve">Yum agreed to selling its struggling Pizza Hut brand in two separate transactions, with private equity firm Long Range Capital acquiring the business excluding mainland China for about $1.5 billion, while Yum China Holdings will purchase Pizza Hut in Mainland China for roughly</w:t>
      </w:r>
      <w:r>
        <w:t xml:space="preserve"> </w:t>
      </w:r>
      <m:oMath>
        <m:r>
          <m:t>1.2</m:t>
        </m:r>
        <m:r>
          <m:t>b</m:t>
        </m:r>
        <m:r>
          <m:t>i</m:t>
        </m:r>
        <m:r>
          <m:t>l</m:t>
        </m:r>
        <m:r>
          <m:t>l</m:t>
        </m:r>
        <m:r>
          <m:t>i</m:t>
        </m:r>
        <m:r>
          <m:t>o</m:t>
        </m:r>
        <m:r>
          <m:t>n</m:t>
        </m:r>
        <m:r>
          <m:rPr>
            <m:sty m:val="p"/>
          </m:rPr>
          <m:t>—</m:t>
        </m:r>
        <m:r>
          <m:t>a</m:t>
        </m:r>
        <m:r>
          <m:t>c</m:t>
        </m:r>
        <m:r>
          <m:t>o</m:t>
        </m:r>
        <m:r>
          <m:t>m</m:t>
        </m:r>
        <m:r>
          <m:t>b</m:t>
        </m:r>
        <m:r>
          <m:t>i</m:t>
        </m:r>
        <m:r>
          <m:t>n</m:t>
        </m:r>
        <m:r>
          <m:t>e</m:t>
        </m:r>
        <m:r>
          <m:t>d</m:t>
        </m:r>
        <m:r>
          <m:rPr>
            <m:sty m:val="p"/>
          </m:rPr>
          <m:t>*</m:t>
        </m:r>
        <m:r>
          <m:rPr>
            <m:sty m:val="p"/>
          </m:rPr>
          <m:t>*</m:t>
        </m:r>
      </m:oMath>
      <w:r>
        <w:t xml:space="preserve">2.7 billion** deal. Both transactions were expected to close in the third quarter of 2026. Alongside the sale, the board approved a $4 billion stock buyback, and Turner framed the move as sharpening the company's focus on technology and talent. This should be the first full quarter where investors get clarity on</w:t>
      </w:r>
      <w:r>
        <w:t xml:space="preserve"> </w:t>
      </w:r>
      <w:r>
        <w:rPr>
          <w:b/>
          <w:bCs/>
        </w:rPr>
        <w:t xml:space="preserve">pro forma Yum (KFC + Taco Bell + Habit)</w:t>
      </w:r>
      <w:r>
        <w:t xml:space="preserve"> </w:t>
      </w:r>
      <w:r>
        <w:t xml:space="preserve">economics and the pace of capital return via the new buyback authorization.</w:t>
      </w:r>
    </w:p>
    <w:bookmarkEnd w:id="10"/>
    <w:bookmarkStart w:id="11" w:name="X65409f6724cfcb00bd0d2224d7642665cd0120f"/>
    <w:p>
      <w:pPr>
        <w:pStyle w:val="Heading3"/>
      </w:pPr>
      <w:r>
        <w:t xml:space="preserve">2. Taco Bell Cyclospora Outbreak — The Dominant Story</w:t>
      </w:r>
    </w:p>
    <w:p>
      <w:pPr>
        <w:pStyle w:val="FirstParagraph"/>
      </w:pPr>
      <w:r>
        <w:t xml:space="preserve">The headline issue overshadowing this print is a</w:t>
      </w:r>
      <w:r>
        <w:t xml:space="preserve"> </w:t>
      </w:r>
      <w:r>
        <w:rPr>
          <w:b/>
          <w:bCs/>
        </w:rPr>
        <w:t xml:space="preserve">cyclosporiasis outbreak linked to Taco Bell</w:t>
      </w:r>
      <w:r>
        <w:t xml:space="preserve">. As one industry note put it, Wall Street anticipates investor focus will center on updates regarding a cyclospora outbreak linked to Taco Bell, one of the company's major brands. Key facts:</w:t>
      </w:r>
    </w:p>
    <w:p>
      <w:pPr>
        <w:pStyle w:val="Compact"/>
        <w:numPr>
          <w:ilvl w:val="0"/>
          <w:numId w:val="1001"/>
        </w:numPr>
      </w:pPr>
      <w:r>
        <w:t xml:space="preserve">Federal health agencies traced the likely source to iceberg lettuce supplied by Taylor Farms.</w:t>
      </w:r>
    </w:p>
    <w:p>
      <w:pPr>
        <w:pStyle w:val="Compact"/>
        <w:numPr>
          <w:ilvl w:val="0"/>
          <w:numId w:val="1001"/>
        </w:numPr>
      </w:pPr>
      <w:r>
        <w:t xml:space="preserve">The outbreak has sickened at least 1,947 people, with 98 hospitalizations and no deaths reported as of late July, with CDC identifying a likely epidemiological link among cases in at least four Midwestern states (Michigan, Ohio, West Virginia, Kentucky).</w:t>
      </w:r>
    </w:p>
    <w:p>
      <w:pPr>
        <w:pStyle w:val="Compact"/>
        <w:numPr>
          <w:ilvl w:val="0"/>
          <w:numId w:val="1001"/>
        </w:numPr>
      </w:pPr>
      <w:r>
        <w:t xml:space="preserve">Since the FDA linked the outbreak to Taco Bell lettuce, daily traffic to the chain's locations has plunged by double digits according to Placer.ai data, and shares of Yum have fallen roughly 5% over the same period.</w:t>
      </w:r>
    </w:p>
    <w:p>
      <w:pPr>
        <w:pStyle w:val="Compact"/>
        <w:numPr>
          <w:ilvl w:val="0"/>
          <w:numId w:val="1001"/>
        </w:numPr>
      </w:pPr>
      <w:r>
        <w:t xml:space="preserve">Taco Bell has responded aggressively: pulling the implicated lettuce by mid-July, publishing an open letter from CEO Sean Tresvant pledging transparency, and running high-profile value promotions ($1 Enchiritos, nacho fries, and even the cult-favorite Mexican Pizza) to rebuild traffic.</w:t>
      </w:r>
    </w:p>
    <w:p>
      <w:pPr>
        <w:pStyle w:val="Compact"/>
        <w:numPr>
          <w:ilvl w:val="0"/>
          <w:numId w:val="1001"/>
        </w:numPr>
      </w:pPr>
      <w:r>
        <w:t xml:space="preserve">Analysts have already begun cutting estimates: RBC's Logan Reich wrote that the recent outbreak likely has minimal impact on Q2 results, though debate around impact on Q3 and beyond is the key driver of the stock, and lowered Q3/Q4 Taco Bell estimates as a result. More broadly, seven industry analysts revised their full-year EPS expectations downward for Yum between June 30 and July 21.</w:t>
      </w:r>
    </w:p>
    <w:p>
      <w:pPr>
        <w:pStyle w:val="Compact"/>
        <w:numPr>
          <w:ilvl w:val="0"/>
          <w:numId w:val="1001"/>
        </w:numPr>
      </w:pPr>
      <w:r>
        <w:t xml:space="preserve">The read-through comparisons investors are debating: a Chipotle-style multi-year traffic scar versus a McDonald's Quarter Pounder E. coli-style sharp-but-short disruption. Notably, McDonald's severed its relationship with Taylor Farms — the same supplier implicated in Taco Bell's outbreak — after the 2024 E. coli incident, and McDonald's domestic sales fully rebounded by the following second quarter.</w:t>
      </w:r>
    </w:p>
    <w:p>
      <w:pPr>
        <w:pStyle w:val="FirstParagraph"/>
      </w:pPr>
      <w:r>
        <w:rPr>
          <w:b/>
          <w:bCs/>
        </w:rPr>
        <w:t xml:space="preserve">This is the single most important thing to watch tomorrow</w:t>
      </w:r>
      <w:r>
        <w:t xml:space="preserve"> </w:t>
      </w:r>
      <w:r>
        <w:t xml:space="preserve">— not the Q2 numbers themselves (largely pre-outbreak), but management's quantification of the Q3 hit, any supplier/food-safety remediation steps disclosed, and whether leadership reiterates confidence in Taco Bell's 2030 long-term algorithm.</w:t>
      </w:r>
    </w:p>
    <w:p>
      <w:r>
        <w:pict>
          <v:rect style="width:0;height:1.5pt" o:hralign="center" o:hrstd="t" o:hr="t"/>
        </w:pict>
      </w:r>
    </w:p>
    <w:bookmarkEnd w:id="11"/>
    <w:bookmarkEnd w:id="12"/>
    <w:bookmarkStart w:id="13" w:name="q1-2026-recap-base-rate-going-in"/>
    <w:p>
      <w:pPr>
        <w:pStyle w:val="Heading2"/>
      </w:pPr>
      <w:r>
        <w:t xml:space="preserve">Q1 2026 Recap (Base Rate Going In)</w:t>
      </w:r>
    </w:p>
    <w:p>
      <w:pPr>
        <w:pStyle w:val="FirstParagraph"/>
      </w:pPr>
      <w:r>
        <w:t xml:space="preserve">Before the outbreak, the underlying business was running hot. In Q1, first-quarter GAAP EPS was $1.55 and EPS excluding Special Items was $1.50, a 15% increase year-over-year, with worldwide system sales up 6% excluding FX and GAAP operating profit up 17%. Segment highlights:</w:t>
      </w:r>
    </w:p>
    <w:p>
      <w:pPr>
        <w:pStyle w:val="Compact"/>
        <w:numPr>
          <w:ilvl w:val="0"/>
          <w:numId w:val="1002"/>
        </w:numPr>
      </w:pPr>
      <w:r>
        <w:rPr>
          <w:b/>
          <w:bCs/>
        </w:rPr>
        <w:t xml:space="preserve">Taco Bell</w:t>
      </w:r>
      <w:r>
        <w:t xml:space="preserve">: Taco Bell U.S. system sales grew 10% and same-store sales grew 8%, with U.S. company-owned restaurant margins of 23.9% — its</w:t>
      </w:r>
      <w:r>
        <w:t xml:space="preserve"> </w:t>
      </w:r>
      <w:r>
        <w:rPr>
          <w:b/>
          <w:bCs/>
        </w:rPr>
        <w:t xml:space="preserve">eighth straight quarter</w:t>
      </w:r>
      <w:r>
        <w:t xml:space="preserve"> </w:t>
      </w:r>
      <w:r>
        <w:t xml:space="preserve">of U.S. comp growth ahead of the industry, driven by the Luxe Value Menu, beverage expansion (Live Más Café), and digital/loyalty growth.</w:t>
      </w:r>
    </w:p>
    <w:p>
      <w:pPr>
        <w:pStyle w:val="Compact"/>
        <w:numPr>
          <w:ilvl w:val="0"/>
          <w:numId w:val="1002"/>
        </w:numPr>
      </w:pPr>
      <w:r>
        <w:rPr>
          <w:b/>
          <w:bCs/>
        </w:rPr>
        <w:t xml:space="preserve">KFC</w:t>
      </w:r>
      <w:r>
        <w:t xml:space="preserve">: KFC opened 648 gross new restaurants across 45 countries, with company-owned restaurant margins of 10.3%, up 100 basis points year-over-year, though the brand's home U.S. market remains soft enough that management</w:t>
      </w:r>
      <w:r>
        <w:t xml:space="preserve"> </w:t>
      </w:r>
      <w:r>
        <w:rPr>
          <w:b/>
          <w:bCs/>
        </w:rPr>
        <w:t xml:space="preserve">stopped disclosing standalone KFC U.S. comps</w:t>
      </w:r>
      <w:r>
        <w:t xml:space="preserve">, noting it is now materially less than 5% of ex-Pizza Hut operating profit.</w:t>
      </w:r>
    </w:p>
    <w:p>
      <w:pPr>
        <w:pStyle w:val="Compact"/>
        <w:numPr>
          <w:ilvl w:val="0"/>
          <w:numId w:val="1002"/>
        </w:numPr>
      </w:pPr>
      <w:r>
        <w:rPr>
          <w:b/>
          <w:bCs/>
        </w:rPr>
        <w:t xml:space="preserve">Guidance update</w:t>
      </w:r>
      <w:r>
        <w:t xml:space="preserve">: Management raised its outlook mid-quarter, saying it now expects Taco Bell U.S. restaurant-level margins to be between 24.5% and 25.5%, reflecting better top-line momentum and higher margins than originally planned from the acquired Taco Bell stores.</w:t>
      </w:r>
    </w:p>
    <w:p>
      <w:pPr>
        <w:pStyle w:val="Compact"/>
        <w:numPr>
          <w:ilvl w:val="0"/>
          <w:numId w:val="1002"/>
        </w:numPr>
      </w:pPr>
      <w:r>
        <w:rPr>
          <w:b/>
          <w:bCs/>
        </w:rPr>
        <w:t xml:space="preserve">Capital allocation</w:t>
      </w:r>
      <w:r>
        <w:t xml:space="preserve">: Yum generates a run rate of approximately $1.8 billion in operating cash flow ex-Pizza Hut, and management reiterated intent to return excess capital to shareholders as debt is refinanced — since amplified by the $4B buyback tied to the Pizza Hut sale.</w:t>
      </w:r>
    </w:p>
    <w:p>
      <w:pPr>
        <w:pStyle w:val="Compact"/>
        <w:numPr>
          <w:ilvl w:val="0"/>
          <w:numId w:val="1002"/>
        </w:numPr>
      </w:pPr>
      <w:r>
        <w:rPr>
          <w:b/>
          <w:bCs/>
        </w:rPr>
        <w:t xml:space="preserve">Executive transition</w:t>
      </w:r>
      <w:r>
        <w:t xml:space="preserve">: Tracy Skeans' retirement was announced June 2, adding a modest leadership-transition watch item, though not core to the thesis.</w:t>
      </w:r>
    </w:p>
    <w:p>
      <w:r>
        <w:pict>
          <v:rect style="width:0;height:1.5pt" o:hralign="center" o:hrstd="t" o:hr="t"/>
        </w:pict>
      </w:r>
    </w:p>
    <w:bookmarkEnd w:id="13"/>
    <w:bookmarkStart w:id="14" w:name="key-questions-for-tomorrows-call"/>
    <w:p>
      <w:pPr>
        <w:pStyle w:val="Heading2"/>
      </w:pPr>
      <w:r>
        <w:t xml:space="preserve">Key Questions for Tomorrow's Call</w:t>
      </w:r>
    </w:p>
    <w:p>
      <w:pPr>
        <w:pStyle w:val="Compact"/>
        <w:numPr>
          <w:ilvl w:val="0"/>
          <w:numId w:val="1003"/>
        </w:numPr>
      </w:pPr>
      <w:r>
        <w:rPr>
          <w:b/>
          <w:bCs/>
        </w:rPr>
        <w:t xml:space="preserve">Quantifying the outbreak hit</w:t>
      </w:r>
      <w:r>
        <w:t xml:space="preserve"> </w:t>
      </w:r>
      <w:r>
        <w:t xml:space="preserve">— Will management give a Q3-to-date same-store sales trend for Taco Bell, or at least directional commentary on the traffic recovery curve since lettuce was pulled and the value promotions launched?</w:t>
      </w:r>
    </w:p>
    <w:p>
      <w:pPr>
        <w:pStyle w:val="Compact"/>
        <w:numPr>
          <w:ilvl w:val="0"/>
          <w:numId w:val="1003"/>
        </w:numPr>
      </w:pPr>
      <w:r>
        <w:rPr>
          <w:b/>
          <w:bCs/>
        </w:rPr>
        <w:t xml:space="preserve">Duration and cost</w:t>
      </w:r>
      <w:r>
        <w:t xml:space="preserve"> </w:t>
      </w:r>
      <w:r>
        <w:t xml:space="preserve">— Any charges for recall/disposal costs, marketing spend to rebuild trust, or legal/liability reserves? Is CDC/FDA involvement expected to extend into Q3?</w:t>
      </w:r>
    </w:p>
    <w:p>
      <w:pPr>
        <w:pStyle w:val="Compact"/>
        <w:numPr>
          <w:ilvl w:val="0"/>
          <w:numId w:val="1003"/>
        </w:numPr>
      </w:pPr>
      <w:r>
        <w:rPr>
          <w:b/>
          <w:bCs/>
        </w:rPr>
        <w:t xml:space="preserve">Full-year guidance</w:t>
      </w:r>
      <w:r>
        <w:t xml:space="preserve"> </w:t>
      </w:r>
      <w:r>
        <w:t xml:space="preserve">— Does Yum still expect to hit its long-term algorithm (5% unit growth, 7% system sales growth ex-FX, 8%+ core operating profit growth) on an ex-Pizza Hut basis, or does the outbreak force a formal guidance cut?</w:t>
      </w:r>
    </w:p>
    <w:p>
      <w:pPr>
        <w:pStyle w:val="Compact"/>
        <w:numPr>
          <w:ilvl w:val="0"/>
          <w:numId w:val="1003"/>
        </w:numPr>
      </w:pPr>
      <w:r>
        <w:rPr>
          <w:b/>
          <w:bCs/>
        </w:rPr>
        <w:t xml:space="preserve">Pizza Hut deal mechanics</w:t>
      </w:r>
      <w:r>
        <w:t xml:space="preserve"> </w:t>
      </w:r>
      <w:r>
        <w:t xml:space="preserve">— Update on close timing (targeted Q3 2026) and how divestiture proceeds plus the $4B buyback will be sequenced.</w:t>
      </w:r>
    </w:p>
    <w:p>
      <w:pPr>
        <w:pStyle w:val="Compact"/>
        <w:numPr>
          <w:ilvl w:val="0"/>
          <w:numId w:val="1003"/>
        </w:numPr>
      </w:pPr>
      <w:r>
        <w:rPr>
          <w:b/>
          <w:bCs/>
        </w:rPr>
        <w:t xml:space="preserve">KFC momentum</w:t>
      </w:r>
      <w:r>
        <w:t xml:space="preserve"> </w:t>
      </w:r>
      <w:r>
        <w:t xml:space="preserve">— Is the international acceleration (China, India, Middle East, U.K.) sustaining, and is there any read-through risk to KFC's supply chain (e.g., produce sourcing) given the Taco Bell situation?</w:t>
      </w:r>
    </w:p>
    <w:p>
      <w:pPr>
        <w:pStyle w:val="Compact"/>
        <w:numPr>
          <w:ilvl w:val="0"/>
          <w:numId w:val="1003"/>
        </w:numPr>
      </w:pPr>
      <w:r>
        <w:rPr>
          <w:b/>
          <w:bCs/>
        </w:rPr>
        <w:t xml:space="preserve">Habit Burger</w:t>
      </w:r>
      <w:r>
        <w:t xml:space="preserve"> </w:t>
      </w:r>
      <w:r>
        <w:t xml:space="preserve">— Small but watch for continued beef-cost margin pressure and the pace of subscale-market closures flagged last quarter (~$5 million in non-cash closure expenses).</w:t>
      </w:r>
    </w:p>
    <w:p>
      <w:r>
        <w:pict>
          <v:rect style="width:0;height:1.5pt" o:hralign="center" o:hrstd="t" o:hr="t"/>
        </w:pict>
      </w:r>
    </w:p>
    <w:bookmarkEnd w:id="14"/>
    <w:bookmarkStart w:id="15" w:name="stock-setup"/>
    <w:p>
      <w:pPr>
        <w:pStyle w:val="Heading2"/>
      </w:pPr>
      <w:r>
        <w:t xml:space="preserve">Stock Setup</w:t>
      </w:r>
    </w:p>
    <w:p>
      <w:pPr>
        <w:pStyle w:val="FirstParagraph"/>
      </w:pPr>
      <w:r>
        <w:t xml:space="preserve">YUM rallied from ~$147 in early June to a 52-week high near</w:t>
      </w:r>
      <w:r>
        <w:t xml:space="preserve"> </w:t>
      </w:r>
      <m:oMath>
        <m:r>
          <m:t>168</m:t>
        </m:r>
        <m:r>
          <m:t>i</m:t>
        </m:r>
        <m:r>
          <m:t>n</m:t>
        </m:r>
        <m:r>
          <m:t>e</m:t>
        </m:r>
        <m:r>
          <m:t>a</m:t>
        </m:r>
        <m:r>
          <m:t>r</m:t>
        </m:r>
        <m:r>
          <m:t>l</m:t>
        </m:r>
        <m:r>
          <m:t>y</m:t>
        </m:r>
        <m:r>
          <m:t>J</m:t>
        </m:r>
        <m:r>
          <m:t>u</m:t>
        </m:r>
        <m:r>
          <m:t>l</m:t>
        </m:r>
        <m:r>
          <m:t>y</m:t>
        </m:r>
        <m:r>
          <m:rPr>
            <m:sty m:val="p"/>
          </m:rPr>
          <m:t>(</m:t>
        </m:r>
        <m:r>
          <m:t>h</m:t>
        </m:r>
        <m:r>
          <m:t>e</m:t>
        </m:r>
        <m:r>
          <m:t>l</m:t>
        </m:r>
        <m:r>
          <m:t>p</m:t>
        </m:r>
        <m:r>
          <m:t>e</m:t>
        </m:r>
        <m:r>
          <m:t>d</m:t>
        </m:r>
        <m:r>
          <m:t>b</m:t>
        </m:r>
        <m:r>
          <m:t>y</m:t>
        </m:r>
        <m:r>
          <m:t>t</m:t>
        </m:r>
        <m:r>
          <m:t>h</m:t>
        </m:r>
        <m:r>
          <m:t>e</m:t>
        </m:r>
        <m:r>
          <m:t>w</m:t>
        </m:r>
        <m:r>
          <m:t>e</m:t>
        </m:r>
        <m:r>
          <m:t>l</m:t>
        </m:r>
        <m:r>
          <m:t>l</m:t>
        </m:r>
        <m:r>
          <m:rPr>
            <m:sty m:val="p"/>
          </m:rPr>
          <m:t>−</m:t>
        </m:r>
        <m:r>
          <m:t>r</m:t>
        </m:r>
        <m:r>
          <m:t>e</m:t>
        </m:r>
        <m:r>
          <m:t>c</m:t>
        </m:r>
        <m:r>
          <m:t>e</m:t>
        </m:r>
        <m:r>
          <m:t>i</m:t>
        </m:r>
        <m:r>
          <m:t>v</m:t>
        </m:r>
        <m:r>
          <m:t>e</m:t>
        </m:r>
        <m:r>
          <m:t>d</m:t>
        </m:r>
        <m:r>
          <m:t>P</m:t>
        </m:r>
        <m:r>
          <m:t>i</m:t>
        </m:r>
        <m:r>
          <m:t>z</m:t>
        </m:r>
        <m:r>
          <m:t>z</m:t>
        </m:r>
        <m:r>
          <m:t>a</m:t>
        </m:r>
        <m:r>
          <m:t>H</m:t>
        </m:r>
        <m:r>
          <m:t>u</m:t>
        </m:r>
        <m:r>
          <m:t>t</m:t>
        </m:r>
        <m:r>
          <m:t>s</m:t>
        </m:r>
        <m:r>
          <m:t>a</m:t>
        </m:r>
        <m:r>
          <m:t>l</m:t>
        </m:r>
        <m:r>
          <m:t>e</m:t>
        </m:r>
        <m:r>
          <m:t>a</m:t>
        </m:r>
        <m:r>
          <m:t>n</m:t>
        </m:r>
        <m:r>
          <m:t>d</m:t>
        </m:r>
        <m:r>
          <m:t>b</m:t>
        </m:r>
        <m:r>
          <m:t>u</m:t>
        </m:r>
        <m:r>
          <m:t>y</m:t>
        </m:r>
        <m:r>
          <m:t>b</m:t>
        </m:r>
        <m:r>
          <m:t>a</m:t>
        </m:r>
        <m:r>
          <m:t>c</m:t>
        </m:r>
        <m:r>
          <m:t>k</m:t>
        </m:r>
        <m:r>
          <m:t>a</m:t>
        </m:r>
        <m:r>
          <m:t>n</m:t>
        </m:r>
        <m:r>
          <m:t>n</m:t>
        </m:r>
        <m:r>
          <m:t>o</m:t>
        </m:r>
        <m:r>
          <m:t>u</m:t>
        </m:r>
        <m:r>
          <m:t>n</m:t>
        </m:r>
        <m:r>
          <m:t>c</m:t>
        </m:r>
        <m:r>
          <m:t>e</m:t>
        </m:r>
        <m:r>
          <m:t>m</m:t>
        </m:r>
        <m:r>
          <m:t>e</m:t>
        </m:r>
        <m:r>
          <m:t>n</m:t>
        </m:r>
        <m:r>
          <m:t>t</m:t>
        </m:r>
        <m:r>
          <m:rPr>
            <m:sty m:val="p"/>
          </m:rPr>
          <m:t>)</m:t>
        </m:r>
        <m:r>
          <m:rPr>
            <m:sty m:val="p"/>
          </m:rPr>
          <m:t>,</m:t>
        </m:r>
        <m:r>
          <m:t>t</m:t>
        </m:r>
        <m:r>
          <m:t>h</m:t>
        </m:r>
        <m:r>
          <m:t>e</m:t>
        </m:r>
        <m:r>
          <m:t>n</m:t>
        </m:r>
        <m:r>
          <m:t>r</m:t>
        </m:r>
        <m:r>
          <m:t>o</m:t>
        </m:r>
        <m:r>
          <m:t>u</m:t>
        </m:r>
        <m:r>
          <m:t>n</m:t>
        </m:r>
        <m:r>
          <m:t>d</m:t>
        </m:r>
        <m:r>
          <m:rPr>
            <m:sty m:val="p"/>
          </m:rPr>
          <m:t>−</m:t>
        </m:r>
        <m:r>
          <m:t>t</m:t>
        </m:r>
        <m:r>
          <m:t>r</m:t>
        </m:r>
        <m:r>
          <m:t>i</m:t>
        </m:r>
        <m:r>
          <m:t>p</m:t>
        </m:r>
        <m:r>
          <m:t>p</m:t>
        </m:r>
        <m:r>
          <m:t>e</m:t>
        </m:r>
        <m:r>
          <m:t>d</m:t>
        </m:r>
        <m:r>
          <m:t>b</m:t>
        </m:r>
        <m:r>
          <m:t>a</m:t>
        </m:r>
        <m:r>
          <m:t>c</m:t>
        </m:r>
        <m:r>
          <m:t>k</m:t>
        </m:r>
        <m:r>
          <m:t>d</m:t>
        </m:r>
        <m:r>
          <m:t>o</m:t>
        </m:r>
        <m:r>
          <m:t>w</m:t>
        </m:r>
        <m:r>
          <m:t>n</m:t>
        </m:r>
        <m:r>
          <m:t>t</m:t>
        </m:r>
        <m:r>
          <m:t>o</m:t>
        </m:r>
        <m:r>
          <m:t> </m:t>
        </m:r>
      </m:oMath>
      <w:r>
        <w:t xml:space="preserve">147 as the cyclospora headlines escalated in mid-July, before stabilizing in the</w:t>
      </w:r>
      <w:r>
        <w:t xml:space="preserve"> </w:t>
      </w:r>
      <m:oMath>
        <m:r>
          <m:t>147</m:t>
        </m:r>
        <m:r>
          <m:rPr>
            <m:sty m:val="p"/>
          </m:rPr>
          <m:t>–</m:t>
        </m:r>
      </m:oMath>
      <w:r>
        <w:t xml:space="preserve">152 range heading into the print. That round trip captures the market's current tension: a structurally cleaner, more focused portfolio (KFC + Taco Bell "twin growth engines" plus Habit) against a real, still-unresolved food-safety overhang at its most important growth brand.</w:t>
      </w:r>
    </w:p>
    <w:p>
      <w:r>
        <w:pict>
          <v:rect style="width:0;height:1.5pt" o:hralign="center" o:hrstd="t" o:hr="t"/>
        </w:pict>
      </w:r>
    </w:p>
    <w:bookmarkEnd w:id="15"/>
    <w:bookmarkStart w:id="16" w:name="bottom-line"/>
    <w:p>
      <w:pPr>
        <w:pStyle w:val="Heading2"/>
      </w:pPr>
      <w:r>
        <w:t xml:space="preserve">Bottom Line</w:t>
      </w:r>
    </w:p>
    <w:p>
      <w:pPr>
        <w:pStyle w:val="FirstParagraph"/>
      </w:pPr>
      <w:r>
        <w:t xml:space="preserve">Going into Thursday's print, the</w:t>
      </w:r>
      <w:r>
        <w:t xml:space="preserve"> </w:t>
      </w:r>
      <w:r>
        <w:rPr>
          <w:b/>
          <w:bCs/>
        </w:rPr>
        <w:t xml:space="preserve">quarter itself is likely to look fine to strong</w:t>
      </w:r>
      <w:r>
        <w:t xml:space="preserve"> </w:t>
      </w:r>
      <w:r>
        <w:t xml:space="preserve">— Taco Bell comps in the high single digits, continued KFC unit growth, and clean execution on the now-completed Pizza Hut exit. But the stock's near-term path will be dictated far more by</w:t>
      </w:r>
      <w:r>
        <w:t xml:space="preserve"> </w:t>
      </w:r>
      <w:r>
        <w:rPr>
          <w:b/>
          <w:bCs/>
        </w:rPr>
        <w:t xml:space="preserve">management's tone on the cyclospora outbreak's Q3/Q4 impact</w:t>
      </w:r>
      <w:r>
        <w:t xml:space="preserve"> </w:t>
      </w:r>
      <w:r>
        <w:t xml:space="preserve">than by the Q2 numbers. Investors should watch closely for any updated full-year guidance, disclosure on traffic recovery trends, and reassurance that this proves closer to a McDonald's-style short, sharp disruption than a Chipotle-style multi-year scar.</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2026-07-29T17:58:27Z</dcterms:created>
  <dcterms:modified xsi:type="dcterms:W3CDTF">2026-07-29T17:58:27Z</dcterms:modified>
</cp:coreProperties>
</file>

<file path=docProps/custom.xml><?xml version="1.0" encoding="utf-8"?>
<Properties xmlns="http://schemas.openxmlformats.org/officeDocument/2006/custom-properties" xmlns:vt="http://schemas.openxmlformats.org/officeDocument/2006/docPropsVTypes"/>
</file>