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5" w:name="yum-2026-q2-earnings-preview"/>
    <w:p>
      <w:pPr>
        <w:pStyle w:val="Heading1"/>
      </w:pPr>
      <w:r>
        <w:t xml:space="preserve">YUM 2026 Q2 Earnings Preview</w:t>
      </w:r>
    </w:p>
    <w:p>
      <w:pPr>
        <w:pStyle w:val="FirstParagraph"/>
      </w:pPr>
      <w:r>
        <w:rPr>
          <w:b/>
          <w:bCs/>
        </w:rPr>
        <w:t xml:space="preserve">Report:</w:t>
      </w:r>
      <w:r>
        <w:t xml:space="preserve"> </w:t>
      </w:r>
      <w:r>
        <w:t xml:space="preserve">Thursday, July 30, 2026, at 7:00 a.m. ET</w:t>
      </w:r>
      <w:r>
        <w:br/>
      </w:r>
      <w:r>
        <w:rPr>
          <w:b/>
          <w:bCs/>
        </w:rPr>
        <w:t xml:space="preserve">Conference call:</w:t>
      </w:r>
      <w:r>
        <w:t xml:space="preserve"> </w:t>
      </w:r>
      <w:r>
        <w:t xml:space="preserve">8:15 a.m. ET</w:t>
      </w:r>
    </w:p>
    <w:bookmarkStart w:id="9" w:name="investment-view-going-into-the-print"/>
    <w:p>
      <w:pPr>
        <w:pStyle w:val="Heading2"/>
      </w:pPr>
      <w:r>
        <w:t xml:space="preserve">Investment view going into the print</w:t>
      </w:r>
    </w:p>
    <w:p>
      <w:pPr>
        <w:pStyle w:val="FirstParagraph"/>
      </w:pPr>
      <w:r>
        <w:t xml:space="preserve">Yum! Brands should report a healthy second quarter, led by continued Taco Bell momentum and KFC’s international development engine. But</w:t>
      </w:r>
      <w:r>
        <w:t xml:space="preserve"> </w:t>
      </w:r>
      <w:r>
        <w:rPr>
          <w:b/>
          <w:bCs/>
        </w:rPr>
        <w:t xml:space="preserve">the reported quarter is unlikely to determine the stock’s reaction</w:t>
      </w:r>
      <w:r>
        <w:t xml:space="preserve">.</w:t>
      </w:r>
    </w:p>
    <w:p>
      <w:pPr>
        <w:pStyle w:val="BodyText"/>
      </w:pPr>
      <w:r>
        <w:t xml:space="preserve">The central issue is the Cyclospora outbreak linked to iceberg lettuce served at Taco Bell. Because the quarter ended June 30 and the FDA publicly linked the outbreak to Taco Bell in mid-July, the direct effect on Q2 results should be limited. What matters is management’s assessment of July traffic, the likely Q3 sales impact, recovery spending and whether the incident alters Taco Bell’s otherwise strong multiyear growth trajectory.</w:t>
      </w:r>
    </w:p>
    <w:p>
      <w:pPr>
        <w:pStyle w:val="BodyText"/>
      </w:pPr>
      <w:r>
        <w:t xml:space="preserve">The other major topic will be the pending $2.7 billion Pizza Hut sale and the resulting earnings, capital-allocation and organizational structure of the post-Pizza Hut company.</w:t>
      </w:r>
    </w:p>
    <w:bookmarkEnd w:id="9"/>
    <w:bookmarkStart w:id="11" w:name="consensus-snapshot"/>
    <w:p>
      <w:pPr>
        <w:pStyle w:val="Heading2"/>
      </w:pPr>
      <w:r>
        <w:t xml:space="preserve">Consensus snapshot</w:t>
      </w:r>
    </w:p>
    <w:p>
      <w:pPr>
        <w:pStyle w:val="FirstParagraph"/>
      </w:pPr>
      <w:r>
        <w:t xml:space="preserve">Street estimates vary slightly by source and update timing, particularly because some models are being revised for the Pizza Hut transaction.</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Metric</w:t>
            </w:r>
          </w:p>
        </w:tc>
        <w:tc>
          <w:tcPr/>
          <w:p>
            <w:pPr>
              <w:pStyle w:val="Compact"/>
              <w:jc w:val="right"/>
            </w:pPr>
            <w:r>
              <w:t xml:space="preserve">Current expectation</w:t>
            </w:r>
          </w:p>
        </w:tc>
        <w:tc>
          <w:tcPr/>
          <w:p>
            <w:pPr>
              <w:pStyle w:val="Compact"/>
              <w:jc w:val="right"/>
            </w:pPr>
            <w:r>
              <w:t xml:space="preserve">Q2 2025</w:t>
            </w:r>
          </w:p>
        </w:tc>
      </w:tr>
      <w:tr>
        <w:tc>
          <w:tcPr/>
          <w:p>
            <w:pPr>
              <w:pStyle w:val="Compact"/>
            </w:pPr>
            <w:r>
              <w:t xml:space="preserve">Adjusted EPS</w:t>
            </w:r>
          </w:p>
        </w:tc>
        <w:tc>
          <w:tcPr/>
          <w:p>
            <w:pPr>
              <w:pStyle w:val="Compact"/>
              <w:jc w:val="right"/>
            </w:pPr>
            <w:r>
              <w:t xml:space="preserve">Approximately</w:t>
            </w:r>
            <w:r>
              <w:t xml:space="preserve"> </w:t>
            </w:r>
            <m:oMath>
              <m:r>
                <m:t>1.57</m:t>
              </m:r>
              <m:r>
                <m:rPr>
                  <m:sty m:val="p"/>
                </m:rPr>
                <m:t>–</m:t>
              </m:r>
            </m:oMath>
            <w:r>
              <w:rPr>
                <w:b/>
                <w:bCs/>
              </w:rPr>
              <w:t xml:space="preserve">1.59</w:t>
            </w:r>
          </w:p>
        </w:tc>
        <w:tc>
          <w:tcPr/>
          <w:p>
            <w:pPr>
              <w:pStyle w:val="Compact"/>
              <w:jc w:val="right"/>
            </w:pPr>
            <w:r>
              <w:t xml:space="preserve">$1.44</w:t>
            </w:r>
          </w:p>
        </w:tc>
      </w:tr>
      <w:tr>
        <w:tc>
          <w:tcPr/>
          <w:p>
            <w:pPr>
              <w:pStyle w:val="Compact"/>
            </w:pPr>
            <w:r>
              <w:t xml:space="preserve">Revenue</w:t>
            </w:r>
          </w:p>
        </w:tc>
        <w:tc>
          <w:tcPr/>
          <w:p>
            <w:pPr>
              <w:pStyle w:val="Compact"/>
              <w:jc w:val="right"/>
            </w:pPr>
            <w:r>
              <w:t xml:space="preserve">Approximately</w:t>
            </w:r>
            <w:r>
              <w:t xml:space="preserve"> </w:t>
            </w:r>
            <m:oMath>
              <m:r>
                <m:t>2.17</m:t>
              </m:r>
              <m:r>
                <m:rPr>
                  <m:sty m:val="p"/>
                </m:rPr>
                <m:t>–</m:t>
              </m:r>
            </m:oMath>
            <w:r>
              <w:rPr>
                <w:b/>
                <w:bCs/>
              </w:rPr>
              <w:t xml:space="preserve">2.20 billion</w:t>
            </w:r>
          </w:p>
        </w:tc>
        <w:tc>
          <w:tcPr/>
          <w:p>
            <w:pPr>
              <w:pStyle w:val="Compact"/>
              <w:jc w:val="right"/>
            </w:pPr>
            <w:r>
              <w:t xml:space="preserve">$1.93 billion</w:t>
            </w:r>
          </w:p>
        </w:tc>
      </w:tr>
      <w:tr>
        <w:tc>
          <w:tcPr/>
          <w:p>
            <w:pPr>
              <w:pStyle w:val="Compact"/>
            </w:pPr>
            <w:r>
              <w:t xml:space="preserve">Worldwide same-store sales</w:t>
            </w:r>
          </w:p>
        </w:tc>
        <w:tc>
          <w:tcPr/>
          <w:p>
            <w:pPr>
              <w:pStyle w:val="Compact"/>
              <w:jc w:val="right"/>
            </w:pPr>
            <w:r>
              <w:t xml:space="preserve">Roughly</w:t>
            </w:r>
            <w:r>
              <w:t xml:space="preserve"> </w:t>
            </w:r>
            <w:r>
              <w:rPr>
                <w:b/>
                <w:bCs/>
              </w:rPr>
              <w:t xml:space="preserve">3%</w:t>
            </w:r>
          </w:p>
        </w:tc>
        <w:tc>
          <w:tcPr/>
          <w:p>
            <w:pPr>
              <w:pStyle w:val="Compact"/>
              <w:jc w:val="right"/>
            </w:pPr>
            <w:r>
              <w:t xml:space="preserve">2%</w:t>
            </w:r>
          </w:p>
        </w:tc>
      </w:tr>
      <w:tr>
        <w:tc>
          <w:tcPr/>
          <w:p>
            <w:pPr>
              <w:pStyle w:val="Compact"/>
            </w:pPr>
            <w:r>
              <w:t xml:space="preserve">Taco Bell same-store sales</w:t>
            </w:r>
          </w:p>
        </w:tc>
        <w:tc>
          <w:tcPr/>
          <w:p>
            <w:pPr>
              <w:pStyle w:val="Compact"/>
              <w:jc w:val="right"/>
            </w:pPr>
            <w:r>
              <w:t xml:space="preserve">Roughly</w:t>
            </w:r>
            <w:r>
              <w:t xml:space="preserve"> </w:t>
            </w:r>
            <w:r>
              <w:rPr>
                <w:b/>
                <w:bCs/>
              </w:rPr>
              <w:t xml:space="preserve">6%–7%</w:t>
            </w:r>
          </w:p>
        </w:tc>
        <w:tc>
          <w:tcPr/>
          <w:p>
            <w:pPr>
              <w:pStyle w:val="Compact"/>
              <w:jc w:val="right"/>
            </w:pPr>
            <w:r>
              <w:t xml:space="preserve">4%</w:t>
            </w:r>
          </w:p>
        </w:tc>
      </w:tr>
      <w:tr>
        <w:tc>
          <w:tcPr/>
          <w:p>
            <w:pPr>
              <w:pStyle w:val="Compact"/>
            </w:pPr>
            <w:r>
              <w:t xml:space="preserve">KFC same-store sales</w:t>
            </w:r>
          </w:p>
        </w:tc>
        <w:tc>
          <w:tcPr/>
          <w:p>
            <w:pPr>
              <w:pStyle w:val="Compact"/>
              <w:jc w:val="right"/>
            </w:pPr>
            <w:r>
              <w:t xml:space="preserve">Low-single-digit growth</w:t>
            </w:r>
          </w:p>
        </w:tc>
        <w:tc>
          <w:tcPr/>
          <w:p>
            <w:pPr>
              <w:pStyle w:val="Compact"/>
              <w:jc w:val="right"/>
            </w:pPr>
            <w:r>
              <w:t xml:space="preserve">2%</w:t>
            </w:r>
          </w:p>
        </w:tc>
      </w:tr>
    </w:tbl>
    <w:p>
      <w:pPr>
        <w:pStyle w:val="BodyText"/>
      </w:pPr>
      <w:r>
        <w:t xml:space="preserve">Current public estimate services place adjusted EPS near $1.58, with revenue estimates around $2.2 billion. (</w:t>
      </w:r>
      <w:hyperlink r:id="rId10">
        <w:r>
          <w:rPr>
            <w:rStyle w:val="Hyperlink"/>
          </w:rPr>
          <w:t xml:space="preserve">tipranks.com</w:t>
        </w:r>
      </w:hyperlink>
      <w:r>
        <w:t xml:space="preserve">)</w:t>
      </w:r>
    </w:p>
    <w:p>
      <w:pPr>
        <w:pStyle w:val="BodyText"/>
      </w:pPr>
      <w:r>
        <w:t xml:space="preserve">Revenue growth will look stronger than underlying system sales because Yum acquired additional Taco Bell restaurants in late 2025. Investors should therefore focus more on same-store sales, system sales and core operating profit than on consolidated revenue alone.</w:t>
      </w:r>
    </w:p>
    <w:bookmarkEnd w:id="11"/>
    <w:bookmarkStart w:id="15" w:name="X8a68cb1bf81ec99c76bcaaee72527562732aeb8"/>
    <w:p>
      <w:pPr>
        <w:pStyle w:val="Heading2"/>
      </w:pPr>
      <w:r>
        <w:t xml:space="preserve">1. Taco Bell: a strong Q2, followed by a much harder Q3</w:t>
      </w:r>
    </w:p>
    <w:p>
      <w:pPr>
        <w:pStyle w:val="FirstParagraph"/>
      </w:pPr>
      <w:r>
        <w:t xml:space="preserve">Taco Bell entered Q2 with substantial momentum. In Q1, same-store sales rose 8%, system sales increased 10%, and U.S. company-owned restaurant margin reached 23.9%. Taco Bell operating profit grew 16%, while management raised its full-year U.S. restaurant-margin outlook to</w:t>
      </w:r>
      <w:r>
        <w:t xml:space="preserve"> </w:t>
      </w:r>
      <w:r>
        <w:rPr>
          <w:b/>
          <w:bCs/>
        </w:rPr>
        <w:t xml:space="preserve">24.5%–25.5%</w:t>
      </w:r>
      <w:r>
        <w:t xml:space="preserve">. (</w:t>
      </w:r>
      <w:hyperlink r:id="rId12">
        <w:r>
          <w:rPr>
            <w:rStyle w:val="Hyperlink"/>
          </w:rPr>
          <w:t xml:space="preserve">sec.gov</w:t>
        </w:r>
      </w:hyperlink>
      <w:r>
        <w:t xml:space="preserve">)</w:t>
      </w:r>
    </w:p>
    <w:p>
      <w:pPr>
        <w:pStyle w:val="BodyText"/>
      </w:pPr>
      <w:r>
        <w:t xml:space="preserve">A Q2 comp in the 6%–7% area would be a strong result against 4% growth last year and would reinforce Taco Bell’s market-share story. The underlying drivers remain attractive:</w:t>
      </w:r>
    </w:p>
    <w:p>
      <w:pPr>
        <w:pStyle w:val="Compact"/>
        <w:numPr>
          <w:ilvl w:val="0"/>
          <w:numId w:val="1001"/>
        </w:numPr>
      </w:pPr>
      <w:r>
        <w:t xml:space="preserve">Broad value positioning, including the Luxe Value Menu</w:t>
      </w:r>
    </w:p>
    <w:p>
      <w:pPr>
        <w:pStyle w:val="Compact"/>
        <w:numPr>
          <w:ilvl w:val="0"/>
          <w:numId w:val="1001"/>
        </w:numPr>
      </w:pPr>
      <w:r>
        <w:t xml:space="preserve">Continued menu innovation and cultural relevance</w:t>
      </w:r>
    </w:p>
    <w:p>
      <w:pPr>
        <w:pStyle w:val="Compact"/>
        <w:numPr>
          <w:ilvl w:val="0"/>
          <w:numId w:val="1001"/>
        </w:numPr>
      </w:pPr>
      <w:r>
        <w:t xml:space="preserve">Positive transactions in Q1</w:t>
      </w:r>
    </w:p>
    <w:p>
      <w:pPr>
        <w:pStyle w:val="Compact"/>
        <w:numPr>
          <w:ilvl w:val="0"/>
          <w:numId w:val="1001"/>
        </w:numPr>
      </w:pPr>
      <w:r>
        <w:t xml:space="preserve">Growing digital and loyalty participation</w:t>
      </w:r>
    </w:p>
    <w:p>
      <w:pPr>
        <w:pStyle w:val="Compact"/>
        <w:numPr>
          <w:ilvl w:val="0"/>
          <w:numId w:val="1001"/>
        </w:numPr>
      </w:pPr>
      <w:r>
        <w:t xml:space="preserve">Specialty beverage expansion</w:t>
      </w:r>
    </w:p>
    <w:p>
      <w:pPr>
        <w:pStyle w:val="Compact"/>
        <w:numPr>
          <w:ilvl w:val="0"/>
          <w:numId w:val="1001"/>
        </w:numPr>
      </w:pPr>
      <w:r>
        <w:t xml:space="preserve">Better-than-expected performance from recently acquired company stores</w:t>
      </w:r>
    </w:p>
    <w:bookmarkStart w:id="14" w:name="X9355e3c3fc0330088ef40dd117f0f5c9b126d47"/>
    <w:p>
      <w:pPr>
        <w:pStyle w:val="Heading3"/>
      </w:pPr>
      <w:r>
        <w:t xml:space="preserve">The outbreak changes the near-term debate</w:t>
      </w:r>
    </w:p>
    <w:p>
      <w:pPr>
        <w:pStyle w:val="FirstParagraph"/>
      </w:pPr>
      <w:r>
        <w:t xml:space="preserve">As of the FDA’s July 24 update, the investigation covered</w:t>
      </w:r>
      <w:r>
        <w:t xml:space="preserve"> </w:t>
      </w:r>
      <w:r>
        <w:rPr>
          <w:b/>
          <w:bCs/>
        </w:rPr>
        <w:t xml:space="preserve">1,947 reported illnesses, at least 98 hospitalizations and no deaths across nine states</w:t>
      </w:r>
      <w:r>
        <w:t xml:space="preserve">. The investigation remained ongoing. The FDA said traceback and epidemiological evidence converged on shredded iceberg lettuce from Taylor Farms de Mexico; Taco Bell stopped using lettuce from that supplier on July 17. (</w:t>
      </w:r>
      <w:hyperlink r:id="rId13">
        <w:r>
          <w:rPr>
            <w:rStyle w:val="Hyperlink"/>
          </w:rPr>
          <w:t xml:space="preserve">fda.gov</w:t>
        </w:r>
      </w:hyperlink>
      <w:r>
        <w:t xml:space="preserve">)</w:t>
      </w:r>
    </w:p>
    <w:p>
      <w:pPr>
        <w:pStyle w:val="BodyText"/>
      </w:pPr>
      <w:r>
        <w:t xml:space="preserve">Consequently, investors will care less about whether Taco Bell’s Q2 comp was 6.5% or 7.0% than about the answers to these questions:</w:t>
      </w:r>
    </w:p>
    <w:p>
      <w:pPr>
        <w:pStyle w:val="Compact"/>
        <w:numPr>
          <w:ilvl w:val="0"/>
          <w:numId w:val="1002"/>
        </w:numPr>
      </w:pPr>
      <w:r>
        <w:rPr>
          <w:b/>
          <w:bCs/>
        </w:rPr>
        <w:t xml:space="preserve">How much has U.S. traffic declined since the outbreak became public?</w:t>
      </w:r>
    </w:p>
    <w:p>
      <w:pPr>
        <w:pStyle w:val="Compact"/>
        <w:numPr>
          <w:ilvl w:val="0"/>
          <w:numId w:val="1002"/>
        </w:numPr>
      </w:pPr>
      <w:r>
        <w:rPr>
          <w:b/>
          <w:bCs/>
        </w:rPr>
        <w:t xml:space="preserve">Are trends stabilizing, improving or still deteriorating?</w:t>
      </w:r>
    </w:p>
    <w:p>
      <w:pPr>
        <w:pStyle w:val="Compact"/>
        <w:numPr>
          <w:ilvl w:val="0"/>
          <w:numId w:val="1002"/>
        </w:numPr>
      </w:pPr>
      <w:r>
        <w:rPr>
          <w:b/>
          <w:bCs/>
        </w:rPr>
        <w:t xml:space="preserve">Is the weakness concentrated in affected states or visible nationally?</w:t>
      </w:r>
    </w:p>
    <w:p>
      <w:pPr>
        <w:pStyle w:val="Compact"/>
        <w:numPr>
          <w:ilvl w:val="0"/>
          <w:numId w:val="1002"/>
        </w:numPr>
      </w:pPr>
      <w:r>
        <w:rPr>
          <w:b/>
          <w:bCs/>
        </w:rPr>
        <w:t xml:space="preserve">What sales impact does management expect in Q3 and Q4?</w:t>
      </w:r>
    </w:p>
    <w:p>
      <w:pPr>
        <w:pStyle w:val="Compact"/>
        <w:numPr>
          <w:ilvl w:val="0"/>
          <w:numId w:val="1002"/>
        </w:numPr>
      </w:pPr>
      <w:r>
        <w:rPr>
          <w:b/>
          <w:bCs/>
        </w:rPr>
        <w:t xml:space="preserve">How much incremental marketing, discounting or franchisee support will be required?</w:t>
      </w:r>
    </w:p>
    <w:p>
      <w:pPr>
        <w:pStyle w:val="Compact"/>
        <w:numPr>
          <w:ilvl w:val="0"/>
          <w:numId w:val="1002"/>
        </w:numPr>
      </w:pPr>
      <w:r>
        <w:rPr>
          <w:b/>
          <w:bCs/>
        </w:rPr>
        <w:t xml:space="preserve">Does Yum expect material litigation, insurance or supply-chain costs?</w:t>
      </w:r>
    </w:p>
    <w:p>
      <w:pPr>
        <w:pStyle w:val="Compact"/>
        <w:numPr>
          <w:ilvl w:val="0"/>
          <w:numId w:val="1002"/>
        </w:numPr>
      </w:pPr>
      <w:r>
        <w:rPr>
          <w:b/>
          <w:bCs/>
        </w:rPr>
        <w:t xml:space="preserve">What permanent changes are being made to produce sourcing and food-safety controls?</w:t>
      </w:r>
    </w:p>
    <w:p>
      <w:pPr>
        <w:pStyle w:val="FirstParagraph"/>
      </w:pPr>
      <w:r>
        <w:t xml:space="preserve">The favorable interpretation is that this was a supplier-specific incident, the affected ingredient was removed quickly, and Taco Bell’s strong value proposition can drive a relatively rapid recovery. The risk is that continuing case-count headlines extend the traffic disruption even after the contaminated product has left the system.</w:t>
      </w:r>
    </w:p>
    <w:bookmarkEnd w:id="14"/>
    <w:bookmarkEnd w:id="15"/>
    <w:bookmarkStart w:id="19" w:name="Xd44356b5490a6346de511a9ae067989b91f2a85"/>
    <w:p>
      <w:pPr>
        <w:pStyle w:val="Heading2"/>
      </w:pPr>
      <w:r>
        <w:t xml:space="preserve">2. Pizza Hut: transaction mechanics now matter more than Q2 operations</w:t>
      </w:r>
    </w:p>
    <w:p>
      <w:pPr>
        <w:pStyle w:val="FirstParagraph"/>
      </w:pPr>
      <w:r>
        <w:t xml:space="preserve">On June 16, Yum agreed to sell Pizza Hut for</w:t>
      </w:r>
      <w:r>
        <w:t xml:space="preserve"> </w:t>
      </w:r>
      <w:r>
        <w:rPr>
          <w:b/>
          <w:bCs/>
        </w:rPr>
        <w:t xml:space="preserve">$2.7 billion in aggregate</w:t>
      </w:r>
      <w:r>
        <w:t xml:space="preserve">:</w:t>
      </w:r>
    </w:p>
    <w:p>
      <w:pPr>
        <w:pStyle w:val="Compact"/>
        <w:numPr>
          <w:ilvl w:val="0"/>
          <w:numId w:val="1003"/>
        </w:numPr>
      </w:pPr>
      <w:r>
        <w:t xml:space="preserve">Pizza Hut outside mainland China to LongRange Capital for approximately $1.5 billion</w:t>
      </w:r>
    </w:p>
    <w:p>
      <w:pPr>
        <w:pStyle w:val="Compact"/>
        <w:numPr>
          <w:ilvl w:val="0"/>
          <w:numId w:val="1003"/>
        </w:numPr>
      </w:pPr>
      <w:r>
        <w:t xml:space="preserve">Pizza Hut’s mainland China rights to Yum China for approximately $1.2 billion</w:t>
      </w:r>
    </w:p>
    <w:p>
      <w:pPr>
        <w:pStyle w:val="Compact"/>
        <w:numPr>
          <w:ilvl w:val="0"/>
          <w:numId w:val="1003"/>
        </w:numPr>
      </w:pPr>
      <w:r>
        <w:t xml:space="preserve">Potential additional earn-out of $75 million on the ex-China business</w:t>
      </w:r>
    </w:p>
    <w:p>
      <w:pPr>
        <w:pStyle w:val="FirstParagraph"/>
      </w:pPr>
      <w:r>
        <w:t xml:space="preserve">Yum expects approximately</w:t>
      </w:r>
      <w:r>
        <w:t xml:space="preserve"> </w:t>
      </w:r>
      <w:r>
        <w:rPr>
          <w:b/>
          <w:bCs/>
        </w:rPr>
        <w:t xml:space="preserve">$2.3 billion in net proceeds</w:t>
      </w:r>
      <w:r>
        <w:t xml:space="preserve">, excluding the earn-out, and approximately $85 million of additional separation expenses during the remainder of 2026. Both transactions are expected to close in Q3. (</w:t>
      </w:r>
      <w:hyperlink r:id="rId16">
        <w:r>
          <w:rPr>
            <w:rStyle w:val="Hyperlink"/>
          </w:rPr>
          <w:t xml:space="preserve">sec.gov</w:t>
        </w:r>
      </w:hyperlink>
      <w:r>
        <w:t xml:space="preserve">)</w:t>
      </w:r>
    </w:p>
    <w:p>
      <w:pPr>
        <w:pStyle w:val="BodyText"/>
      </w:pPr>
      <w:r>
        <w:t xml:space="preserve">Management previously guided to approximately</w:t>
      </w:r>
      <w:r>
        <w:t xml:space="preserve"> </w:t>
      </w:r>
      <w:r>
        <w:rPr>
          <w:b/>
          <w:bCs/>
        </w:rPr>
        <w:t xml:space="preserve">$70 million of Pizza Hut core operating profit in Q2</w:t>
      </w:r>
      <w:r>
        <w:t xml:space="preserve">, versus $80 million in Q2 2025. That would reflect continued “Hut Forward” investment and the brand’s weak underlying profitability. (</w:t>
      </w:r>
      <w:hyperlink r:id="rId17">
        <w:r>
          <w:rPr>
            <w:rStyle w:val="Hyperlink"/>
          </w:rPr>
          <w:t xml:space="preserve">roic.ai</w:t>
        </w:r>
      </w:hyperlink>
      <w:r>
        <w:t xml:space="preserve">)</w:t>
      </w:r>
    </w:p>
    <w:p>
      <w:pPr>
        <w:pStyle w:val="BodyText"/>
      </w:pPr>
      <w:r>
        <w:t xml:space="preserve">More important than the reported result will be:</w:t>
      </w:r>
    </w:p>
    <w:p>
      <w:pPr>
        <w:pStyle w:val="Compact"/>
        <w:numPr>
          <w:ilvl w:val="0"/>
          <w:numId w:val="1004"/>
        </w:numPr>
      </w:pPr>
      <w:r>
        <w:t xml:space="preserve">Whether the Q3 closing timetable remains intact</w:t>
      </w:r>
    </w:p>
    <w:p>
      <w:pPr>
        <w:pStyle w:val="Compact"/>
        <w:numPr>
          <w:ilvl w:val="0"/>
          <w:numId w:val="1004"/>
        </w:numPr>
      </w:pPr>
      <w:r>
        <w:t xml:space="preserve">The treatment of Pizza Hut as held for sale or discontinued operations</w:t>
      </w:r>
    </w:p>
    <w:p>
      <w:pPr>
        <w:pStyle w:val="Compact"/>
        <w:numPr>
          <w:ilvl w:val="0"/>
          <w:numId w:val="1004"/>
        </w:numPr>
      </w:pPr>
      <w:r>
        <w:t xml:space="preserve">The exact EPS and free-cash-flow effect after closing</w:t>
      </w:r>
    </w:p>
    <w:p>
      <w:pPr>
        <w:pStyle w:val="Compact"/>
        <w:numPr>
          <w:ilvl w:val="0"/>
          <w:numId w:val="1004"/>
        </w:numPr>
      </w:pPr>
      <w:r>
        <w:t xml:space="preserve">Stranded corporate costs and the timing of their removal</w:t>
      </w:r>
    </w:p>
    <w:p>
      <w:pPr>
        <w:pStyle w:val="Compact"/>
        <w:numPr>
          <w:ilvl w:val="0"/>
          <w:numId w:val="1004"/>
        </w:numPr>
      </w:pPr>
      <w:r>
        <w:t xml:space="preserve">Transition-service revenue and ongoing Byte technology fees</w:t>
      </w:r>
    </w:p>
    <w:p>
      <w:pPr>
        <w:pStyle w:val="Compact"/>
        <w:numPr>
          <w:ilvl w:val="0"/>
          <w:numId w:val="1004"/>
        </w:numPr>
      </w:pPr>
      <w:r>
        <w:t xml:space="preserve">Whether Yum revises its 2026 outlook to a continuing-operations basis</w:t>
      </w:r>
    </w:p>
    <w:p>
      <w:pPr>
        <w:pStyle w:val="Compact"/>
        <w:numPr>
          <w:ilvl w:val="0"/>
          <w:numId w:val="1004"/>
        </w:numPr>
      </w:pPr>
      <w:r>
        <w:t xml:space="preserve">The timing and pace of repurchases funded by sale proceeds</w:t>
      </w:r>
    </w:p>
    <w:p>
      <w:pPr>
        <w:pStyle w:val="FirstParagraph"/>
      </w:pPr>
      <w:r>
        <w:t xml:space="preserve">Yum said 2026 transition-service fees should offset the corporate G&amp;A historically allocated to Pizza Hut, but investors will want guidance for 2027, when the post-separation cost structure becomes more relevant. (</w:t>
      </w:r>
      <w:hyperlink r:id="rId18">
        <w:r>
          <w:rPr>
            <w:rStyle w:val="Hyperlink"/>
          </w:rPr>
          <w:t xml:space="preserve">sec.gov</w:t>
        </w:r>
      </w:hyperlink>
      <w:r>
        <w:t xml:space="preserve">)</w:t>
      </w:r>
    </w:p>
    <w:bookmarkEnd w:id="19"/>
    <w:bookmarkStart w:id="24" w:name="X35ec5dd4ed7551d22e27a74cec078a31437e1f8"/>
    <w:p>
      <w:pPr>
        <w:pStyle w:val="Heading2"/>
      </w:pPr>
      <w:r>
        <w:t xml:space="preserve">3. KFC: development remains the core earnings engine</w:t>
      </w:r>
    </w:p>
    <w:p>
      <w:pPr>
        <w:pStyle w:val="FirstParagraph"/>
      </w:pPr>
      <w:r>
        <w:t xml:space="preserve">KFC produced 6% system-sales growth in Q1 through a combination of 2% same-store sales growth and 7% unit growth. The division opened 648 gross restaurants in 45 countries, and operating profit increased 9% excluding currency. Company-owned restaurant margin improved 100 basis points to 10.3%. (</w:t>
      </w:r>
      <w:hyperlink r:id="rId12">
        <w:r>
          <w:rPr>
            <w:rStyle w:val="Hyperlink"/>
          </w:rPr>
          <w:t xml:space="preserve">sec.gov</w:t>
        </w:r>
      </w:hyperlink>
      <w:r>
        <w:t xml:space="preserve">)</w:t>
      </w:r>
    </w:p>
    <w:p>
      <w:pPr>
        <w:pStyle w:val="BodyText"/>
      </w:pPr>
      <w:r>
        <w:t xml:space="preserve">The most important KFC indicators for Q2 are:</w:t>
      </w:r>
    </w:p>
    <w:bookmarkStart w:id="20" w:name="international-same-store-sales"/>
    <w:p>
      <w:pPr>
        <w:pStyle w:val="Heading3"/>
      </w:pPr>
      <w:r>
        <w:t xml:space="preserve">International same-store sales</w:t>
      </w:r>
    </w:p>
    <w:p>
      <w:pPr>
        <w:pStyle w:val="FirstParagraph"/>
      </w:pPr>
      <w:r>
        <w:t xml:space="preserve">Investors should look for continued strength across Asia, India, Latin America, the U.K. and the Middle East, offsetting slower markets and continued weakness in the United States.</w:t>
      </w:r>
    </w:p>
    <w:bookmarkEnd w:id="20"/>
    <w:bookmarkStart w:id="21" w:name="unit-growth"/>
    <w:p>
      <w:pPr>
        <w:pStyle w:val="Heading3"/>
      </w:pPr>
      <w:r>
        <w:t xml:space="preserve">Unit growth</w:t>
      </w:r>
    </w:p>
    <w:p>
      <w:pPr>
        <w:pStyle w:val="FirstParagraph"/>
      </w:pPr>
      <w:r>
        <w:t xml:space="preserve">KFC’s long runway depends on sustaining approximately 7% unit growth with attractive franchisee returns. Management entered Q2 saying development plans remained intact despite geopolitical and supply-chain disruptions.</w:t>
      </w:r>
    </w:p>
    <w:bookmarkEnd w:id="21"/>
    <w:bookmarkStart w:id="22" w:name="kfc-us"/>
    <w:p>
      <w:pPr>
        <w:pStyle w:val="Heading3"/>
      </w:pPr>
      <w:r>
        <w:t xml:space="preserve">KFC U.S.</w:t>
      </w:r>
    </w:p>
    <w:p>
      <w:pPr>
        <w:pStyle w:val="FirstParagraph"/>
      </w:pPr>
      <w:r>
        <w:t xml:space="preserve">The U.S. business represented materially less than 5% of Yum’s operating profit excluding Pizza Hut in Q1, but continued weakness would remain a strategic blemish. KFC U.S. system sales declined 2% in Q1 after a difficult 2025 comparison. Management may discuss the newer</w:t>
      </w:r>
      <w:r>
        <w:t xml:space="preserve"> </w:t>
      </w:r>
      <m:oMath>
        <m:r>
          <m:t>7</m:t>
        </m:r>
        <m:r>
          <m:rPr>
            <m:sty m:val="p"/>
          </m:rPr>
          <m:t>/</m:t>
        </m:r>
      </m:oMath>
      <w:r>
        <w:t xml:space="preserve">9/$11 value platform, tenders and sauces innovation, even though it no longer provides the same detailed U.S. disclosure.</w:t>
      </w:r>
    </w:p>
    <w:bookmarkEnd w:id="22"/>
    <w:bookmarkStart w:id="23" w:name="restaurant-economics"/>
    <w:p>
      <w:pPr>
        <w:pStyle w:val="Heading3"/>
      </w:pPr>
      <w:r>
        <w:t xml:space="preserve">Restaurant economics</w:t>
      </w:r>
    </w:p>
    <w:p>
      <w:pPr>
        <w:pStyle w:val="FirstParagraph"/>
      </w:pPr>
      <w:r>
        <w:t xml:space="preserve">Watch whether KFC can sustain margin improvement despite chicken, labor, energy and logistics volatility. Higher oil prices and Middle East disruption could affect both consumer spending and operating costs in several important markets.</w:t>
      </w:r>
    </w:p>
    <w:bookmarkEnd w:id="23"/>
    <w:bookmarkEnd w:id="24"/>
    <w:bookmarkStart w:id="27" w:name="X06cc80f0fe33c713bb44980679042d362f0f3af"/>
    <w:p>
      <w:pPr>
        <w:pStyle w:val="Heading2"/>
      </w:pPr>
      <w:r>
        <w:t xml:space="preserve">4. Margins and corporate spending</w:t>
      </w:r>
    </w:p>
    <w:p>
      <w:pPr>
        <w:pStyle w:val="FirstParagraph"/>
      </w:pPr>
      <w:r>
        <w:t xml:space="preserve">Taco Bell’s full-year U.S. company-owned margin guide of 24.5%–25.5% is an important benchmark. Q2 2025 margin was approximately 24.5%, so a result near or above that level—despite ongoing inflation and value promotions—would support the raised outlook. (</w:t>
      </w:r>
      <w:hyperlink r:id="rId25">
        <w:r>
          <w:rPr>
            <w:rStyle w:val="Hyperlink"/>
          </w:rPr>
          <w:t xml:space="preserve">s2.q4cdn.com</w:t>
        </w:r>
      </w:hyperlink>
      <w:r>
        <w:t xml:space="preserve">)</w:t>
      </w:r>
    </w:p>
    <w:p>
      <w:pPr>
        <w:pStyle w:val="BodyText"/>
      </w:pPr>
      <w:r>
        <w:t xml:space="preserve">There are several modeling headwinds to remember:</w:t>
      </w:r>
    </w:p>
    <w:p>
      <w:pPr>
        <w:pStyle w:val="Compact"/>
        <w:numPr>
          <w:ilvl w:val="0"/>
          <w:numId w:val="1005"/>
        </w:numPr>
      </w:pPr>
      <w:r>
        <w:t xml:space="preserve">Q2 ex-special G&amp;A excluding Pizza Hut was expected to grow at a</w:t>
      </w:r>
      <w:r>
        <w:t xml:space="preserve"> </w:t>
      </w:r>
      <w:r>
        <w:rPr>
          <w:b/>
          <w:bCs/>
        </w:rPr>
        <w:t xml:space="preserve">high-single-digit</w:t>
      </w:r>
      <w:r>
        <w:t xml:space="preserve"> </w:t>
      </w:r>
      <w:r>
        <w:t xml:space="preserve">rate because of project timing.</w:t>
      </w:r>
    </w:p>
    <w:p>
      <w:pPr>
        <w:pStyle w:val="Compact"/>
        <w:numPr>
          <w:ilvl w:val="0"/>
          <w:numId w:val="1005"/>
        </w:numPr>
      </w:pPr>
      <w:r>
        <w:t xml:space="preserve">Amortization of reacquired franchise rights is expected to rise by approximately $30 million in 2026.</w:t>
      </w:r>
    </w:p>
    <w:p>
      <w:pPr>
        <w:pStyle w:val="Compact"/>
        <w:numPr>
          <w:ilvl w:val="0"/>
          <w:numId w:val="1005"/>
        </w:numPr>
      </w:pPr>
      <w:r>
        <w:t xml:space="preserve">Full-year interest expense was previously guided to</w:t>
      </w:r>
      <w:r>
        <w:t xml:space="preserve"> </w:t>
      </w:r>
      <m:oMath>
        <m:r>
          <m:t>510</m:t>
        </m:r>
        <m:r>
          <m:rPr>
            <m:sty m:val="p"/>
          </m:rPr>
          <m:t>–</m:t>
        </m:r>
      </m:oMath>
      <w:r>
        <w:t xml:space="preserve">520 million, excluding potential new debt issuance.</w:t>
      </w:r>
    </w:p>
    <w:p>
      <w:pPr>
        <w:pStyle w:val="Compact"/>
        <w:numPr>
          <w:ilvl w:val="0"/>
          <w:numId w:val="1005"/>
        </w:numPr>
      </w:pPr>
      <w:r>
        <w:t xml:space="preserve">Habit Burger is expected to record approximately $5 million of noncash closure expenses. (</w:t>
      </w:r>
      <w:hyperlink r:id="rId26">
        <w:r>
          <w:rPr>
            <w:rStyle w:val="Hyperlink"/>
          </w:rPr>
          <w:t xml:space="preserve">tipranks.com</w:t>
        </w:r>
      </w:hyperlink>
      <w:r>
        <w:t xml:space="preserve">)</w:t>
      </w:r>
    </w:p>
    <w:p>
      <w:pPr>
        <w:pStyle w:val="FirstParagraph"/>
      </w:pPr>
      <w:r>
        <w:t xml:space="preserve">A modest EPS beat driven only by taxes, currency or below-the-line items would be less meaningful than one supported by Taco Bell margins and KFC operating-profit growth.</w:t>
      </w:r>
    </w:p>
    <w:bookmarkEnd w:id="27"/>
    <w:bookmarkStart w:id="28" w:name="Xe4a45aa9463fbdbd510519b5d485f056434579e"/>
    <w:p>
      <w:pPr>
        <w:pStyle w:val="Heading2"/>
      </w:pPr>
      <w:r>
        <w:t xml:space="preserve">5. Capital allocation could provide an important offset</w:t>
      </w:r>
    </w:p>
    <w:p>
      <w:pPr>
        <w:pStyle w:val="FirstParagraph"/>
      </w:pPr>
      <w:r>
        <w:t xml:space="preserve">Alongside the Pizza Hut agreements, Yum’s board authorized an additional</w:t>
      </w:r>
      <w:r>
        <w:t xml:space="preserve"> </w:t>
      </w:r>
      <w:r>
        <w:rPr>
          <w:b/>
          <w:bCs/>
        </w:rPr>
        <w:t xml:space="preserve">$4 billion share-repurchase program</w:t>
      </w:r>
      <w:r>
        <w:t xml:space="preserve">, on top of approximately $400 million remaining under the existing authorization at the time of announcement. The new authorization runs through June 30, 2028. (</w:t>
      </w:r>
      <w:hyperlink r:id="rId16">
        <w:r>
          <w:rPr>
            <w:rStyle w:val="Hyperlink"/>
          </w:rPr>
          <w:t xml:space="preserve">sec.gov</w:t>
        </w:r>
      </w:hyperlink>
      <w:r>
        <w:t xml:space="preserve">)</w:t>
      </w:r>
    </w:p>
    <w:p>
      <w:pPr>
        <w:pStyle w:val="BodyText"/>
      </w:pPr>
      <w:r>
        <w:t xml:space="preserve">Investors should listen for:</w:t>
      </w:r>
    </w:p>
    <w:p>
      <w:pPr>
        <w:pStyle w:val="Compact"/>
        <w:numPr>
          <w:ilvl w:val="0"/>
          <w:numId w:val="1006"/>
        </w:numPr>
      </w:pPr>
      <w:r>
        <w:t xml:space="preserve">Expected after-tax proceeds and closing dates</w:t>
      </w:r>
    </w:p>
    <w:p>
      <w:pPr>
        <w:pStyle w:val="Compact"/>
        <w:numPr>
          <w:ilvl w:val="0"/>
          <w:numId w:val="1006"/>
        </w:numPr>
      </w:pPr>
      <w:r>
        <w:t xml:space="preserve">Repurchase timing following transaction completion</w:t>
      </w:r>
    </w:p>
    <w:p>
      <w:pPr>
        <w:pStyle w:val="Compact"/>
        <w:numPr>
          <w:ilvl w:val="0"/>
          <w:numId w:val="1006"/>
        </w:numPr>
      </w:pPr>
      <w:r>
        <w:t xml:space="preserve">Whether Yum intends to temporarily exceed or remain near its roughly 4× leverage framework</w:t>
      </w:r>
    </w:p>
    <w:p>
      <w:pPr>
        <w:pStyle w:val="Compact"/>
        <w:numPr>
          <w:ilvl w:val="0"/>
          <w:numId w:val="1006"/>
        </w:numPr>
      </w:pPr>
      <w:r>
        <w:t xml:space="preserve">Any debt refinancing or upsizing plans</w:t>
      </w:r>
    </w:p>
    <w:p>
      <w:pPr>
        <w:pStyle w:val="Compact"/>
        <w:numPr>
          <w:ilvl w:val="0"/>
          <w:numId w:val="1006"/>
        </w:numPr>
      </w:pPr>
      <w:r>
        <w:t xml:space="preserve">How much cash will be retained for Byte, restaurant acquisitions or other strategic investments</w:t>
      </w:r>
    </w:p>
    <w:p>
      <w:pPr>
        <w:pStyle w:val="FirstParagraph"/>
      </w:pPr>
      <w:r>
        <w:t xml:space="preserve">Aggressive repurchases could materially support EPS after Pizza Hut exits, although investors will distinguish between financial engineering and improvement in the underlying continuing businesses.</w:t>
      </w:r>
    </w:p>
    <w:bookmarkEnd w:id="28"/>
    <w:bookmarkStart w:id="29" w:name="Xde78146d8b9adb4cfa850cec17cdd5b636fddc2"/>
    <w:p>
      <w:pPr>
        <w:pStyle w:val="Heading2"/>
      </w:pPr>
      <w:r>
        <w:t xml:space="preserve">6. Byte, digital and AI: strategically important, but secondary this quarter</w:t>
      </w:r>
    </w:p>
    <w:p>
      <w:pPr>
        <w:pStyle w:val="FirstParagraph"/>
      </w:pPr>
      <w:r>
        <w:t xml:space="preserve">Digital sales approached $11 billion in Q1, representing a record 63% of system sales. Yum is extending Byte internationally, including KFC deployments in the U.K. and Australia, while Taco Bell is testing AI-driven drive-thru menu optimization. (</w:t>
      </w:r>
      <w:hyperlink r:id="rId12">
        <w:r>
          <w:rPr>
            <w:rStyle w:val="Hyperlink"/>
          </w:rPr>
          <w:t xml:space="preserve">sec.gov</w:t>
        </w:r>
      </w:hyperlink>
      <w:r>
        <w:t xml:space="preserve">)</w:t>
      </w:r>
    </w:p>
    <w:p>
      <w:pPr>
        <w:pStyle w:val="BodyText"/>
      </w:pPr>
      <w:r>
        <w:t xml:space="preserve">Useful incremental disclosures would include:</w:t>
      </w:r>
    </w:p>
    <w:p>
      <w:pPr>
        <w:pStyle w:val="Compact"/>
        <w:numPr>
          <w:ilvl w:val="0"/>
          <w:numId w:val="1007"/>
        </w:numPr>
      </w:pPr>
      <w:r>
        <w:t xml:space="preserve">Byte restaurant deployment counts</w:t>
      </w:r>
    </w:p>
    <w:p>
      <w:pPr>
        <w:pStyle w:val="Compact"/>
        <w:numPr>
          <w:ilvl w:val="0"/>
          <w:numId w:val="1007"/>
        </w:numPr>
      </w:pPr>
      <w:r>
        <w:t xml:space="preserve">Quantified franchisee savings or sales lifts</w:t>
      </w:r>
    </w:p>
    <w:p>
      <w:pPr>
        <w:pStyle w:val="Compact"/>
        <w:numPr>
          <w:ilvl w:val="0"/>
          <w:numId w:val="1007"/>
        </w:numPr>
      </w:pPr>
      <w:r>
        <w:t xml:space="preserve">Loyalty-member and digital-transaction growth</w:t>
      </w:r>
    </w:p>
    <w:p>
      <w:pPr>
        <w:pStyle w:val="Compact"/>
        <w:numPr>
          <w:ilvl w:val="0"/>
          <w:numId w:val="1007"/>
        </w:numPr>
      </w:pPr>
      <w:r>
        <w:t xml:space="preserve">Technology revenue retained from Pizza Hut after separation</w:t>
      </w:r>
    </w:p>
    <w:p>
      <w:pPr>
        <w:pStyle w:val="Compact"/>
        <w:numPr>
          <w:ilvl w:val="0"/>
          <w:numId w:val="1007"/>
        </w:numPr>
      </w:pPr>
      <w:r>
        <w:t xml:space="preserve">Evidence that AI is reducing G&amp;A or development costs</w:t>
      </w:r>
    </w:p>
    <w:p>
      <w:pPr>
        <w:pStyle w:val="FirstParagraph"/>
      </w:pPr>
      <w:r>
        <w:t xml:space="preserve">This remains part of the long-term valuation case, but it is unlikely to outweigh Taco Bell’s outbreak commentary in the immediate reaction.</w:t>
      </w:r>
    </w:p>
    <w:bookmarkEnd w:id="29"/>
    <w:bookmarkStart w:id="33" w:name="potential-reaction-framework"/>
    <w:p>
      <w:pPr>
        <w:pStyle w:val="Heading2"/>
      </w:pPr>
      <w:r>
        <w:t xml:space="preserve">Potential reaction framework</w:t>
      </w:r>
    </w:p>
    <w:bookmarkStart w:id="30" w:name="bull-case"/>
    <w:p>
      <w:pPr>
        <w:pStyle w:val="Heading3"/>
      </w:pPr>
      <w:r>
        <w:t xml:space="preserve">Bull case</w:t>
      </w:r>
    </w:p>
    <w:p>
      <w:pPr>
        <w:pStyle w:val="Compact"/>
        <w:numPr>
          <w:ilvl w:val="0"/>
          <w:numId w:val="1008"/>
        </w:numPr>
      </w:pPr>
      <w:r>
        <w:t xml:space="preserve">Adjusted EPS exceeds roughly $1.60</w:t>
      </w:r>
    </w:p>
    <w:p>
      <w:pPr>
        <w:pStyle w:val="Compact"/>
        <w:numPr>
          <w:ilvl w:val="0"/>
          <w:numId w:val="1008"/>
        </w:numPr>
      </w:pPr>
      <w:r>
        <w:t xml:space="preserve">Taco Bell comps meet or beat the 6%–7% area</w:t>
      </w:r>
    </w:p>
    <w:p>
      <w:pPr>
        <w:pStyle w:val="Compact"/>
        <w:numPr>
          <w:ilvl w:val="0"/>
          <w:numId w:val="1008"/>
        </w:numPr>
      </w:pPr>
      <w:r>
        <w:t xml:space="preserve">Taco Bell margins support the 24.5%–25.5% full-year guide</w:t>
      </w:r>
    </w:p>
    <w:p>
      <w:pPr>
        <w:pStyle w:val="Compact"/>
        <w:numPr>
          <w:ilvl w:val="0"/>
          <w:numId w:val="1008"/>
        </w:numPr>
      </w:pPr>
      <w:r>
        <w:t xml:space="preserve">July traffic shows clear sequential recovery</w:t>
      </w:r>
    </w:p>
    <w:p>
      <w:pPr>
        <w:pStyle w:val="Compact"/>
        <w:numPr>
          <w:ilvl w:val="0"/>
          <w:numId w:val="1008"/>
        </w:numPr>
      </w:pPr>
      <w:r>
        <w:t xml:space="preserve">Management characterizes the outbreak as geographically and temporally contained</w:t>
      </w:r>
    </w:p>
    <w:p>
      <w:pPr>
        <w:pStyle w:val="Compact"/>
        <w:numPr>
          <w:ilvl w:val="0"/>
          <w:numId w:val="1008"/>
        </w:numPr>
      </w:pPr>
      <w:r>
        <w:t xml:space="preserve">KFC maintains strong international development</w:t>
      </w:r>
    </w:p>
    <w:p>
      <w:pPr>
        <w:pStyle w:val="Compact"/>
        <w:numPr>
          <w:ilvl w:val="0"/>
          <w:numId w:val="1008"/>
        </w:numPr>
      </w:pPr>
      <w:r>
        <w:t xml:space="preserve">Pizza Hut transactions remain on schedule</w:t>
      </w:r>
    </w:p>
    <w:p>
      <w:pPr>
        <w:pStyle w:val="Compact"/>
        <w:numPr>
          <w:ilvl w:val="0"/>
          <w:numId w:val="1008"/>
        </w:numPr>
      </w:pPr>
      <w:r>
        <w:t xml:space="preserve">Full-year continuing-operations guidance is maintained or raised</w:t>
      </w:r>
    </w:p>
    <w:p>
      <w:pPr>
        <w:pStyle w:val="Compact"/>
        <w:numPr>
          <w:ilvl w:val="0"/>
          <w:numId w:val="1008"/>
        </w:numPr>
      </w:pPr>
      <w:r>
        <w:t xml:space="preserve">Repurchases begin shortly after closing</w:t>
      </w:r>
    </w:p>
    <w:bookmarkEnd w:id="30"/>
    <w:bookmarkStart w:id="31" w:name="base-case"/>
    <w:p>
      <w:pPr>
        <w:pStyle w:val="Heading3"/>
      </w:pPr>
      <w:r>
        <w:t xml:space="preserve">Base case</w:t>
      </w:r>
    </w:p>
    <w:p>
      <w:pPr>
        <w:pStyle w:val="Compact"/>
        <w:numPr>
          <w:ilvl w:val="0"/>
          <w:numId w:val="1009"/>
        </w:numPr>
      </w:pPr>
      <w:r>
        <w:t xml:space="preserve">Q2 numbers are broadly in line</w:t>
      </w:r>
    </w:p>
    <w:p>
      <w:pPr>
        <w:pStyle w:val="Compact"/>
        <w:numPr>
          <w:ilvl w:val="0"/>
          <w:numId w:val="1009"/>
        </w:numPr>
      </w:pPr>
      <w:r>
        <w:t xml:space="preserve">Taco Bell posts a strong pre-outbreak quarter</w:t>
      </w:r>
    </w:p>
    <w:p>
      <w:pPr>
        <w:pStyle w:val="Compact"/>
        <w:numPr>
          <w:ilvl w:val="0"/>
          <w:numId w:val="1009"/>
        </w:numPr>
      </w:pPr>
      <w:r>
        <w:t xml:space="preserve">Management acknowledges a meaningful Q3 comp headwind but avoids detailed guidance</w:t>
      </w:r>
    </w:p>
    <w:p>
      <w:pPr>
        <w:pStyle w:val="Compact"/>
        <w:numPr>
          <w:ilvl w:val="0"/>
          <w:numId w:val="1009"/>
        </w:numPr>
      </w:pPr>
      <w:r>
        <w:t xml:space="preserve">KFC remains steady</w:t>
      </w:r>
    </w:p>
    <w:p>
      <w:pPr>
        <w:pStyle w:val="Compact"/>
        <w:numPr>
          <w:ilvl w:val="0"/>
          <w:numId w:val="1009"/>
        </w:numPr>
      </w:pPr>
      <w:r>
        <w:t xml:space="preserve">Pizza Hut sale timing is unchanged</w:t>
      </w:r>
    </w:p>
    <w:p>
      <w:pPr>
        <w:pStyle w:val="Compact"/>
        <w:numPr>
          <w:ilvl w:val="0"/>
          <w:numId w:val="1009"/>
        </w:numPr>
      </w:pPr>
      <w:r>
        <w:t xml:space="preserve">Full-year outlook is maintained with wider uncertainty around Taco Bell</w:t>
      </w:r>
    </w:p>
    <w:bookmarkEnd w:id="31"/>
    <w:bookmarkStart w:id="32" w:name="bear-case"/>
    <w:p>
      <w:pPr>
        <w:pStyle w:val="Heading3"/>
      </w:pPr>
      <w:r>
        <w:t xml:space="preserve">Bear case</w:t>
      </w:r>
    </w:p>
    <w:p>
      <w:pPr>
        <w:pStyle w:val="Compact"/>
        <w:numPr>
          <w:ilvl w:val="0"/>
          <w:numId w:val="1010"/>
        </w:numPr>
      </w:pPr>
      <w:r>
        <w:t xml:space="preserve">Taco Bell Q2 already shows unexpected slowing</w:t>
      </w:r>
    </w:p>
    <w:p>
      <w:pPr>
        <w:pStyle w:val="Compact"/>
        <w:numPr>
          <w:ilvl w:val="0"/>
          <w:numId w:val="1010"/>
        </w:numPr>
      </w:pPr>
      <w:r>
        <w:t xml:space="preserve">July traffic remains deeply negative with no clear stabilization</w:t>
      </w:r>
    </w:p>
    <w:p>
      <w:pPr>
        <w:pStyle w:val="Compact"/>
        <w:numPr>
          <w:ilvl w:val="0"/>
          <w:numId w:val="1010"/>
        </w:numPr>
      </w:pPr>
      <w:r>
        <w:t xml:space="preserve">Management withdraws or materially cuts Taco Bell margin or profit expectations</w:t>
      </w:r>
    </w:p>
    <w:p>
      <w:pPr>
        <w:pStyle w:val="Compact"/>
        <w:numPr>
          <w:ilvl w:val="0"/>
          <w:numId w:val="1010"/>
        </w:numPr>
      </w:pPr>
      <w:r>
        <w:t xml:space="preserve">Recovery requires heavy discounting and marketing support</w:t>
      </w:r>
    </w:p>
    <w:p>
      <w:pPr>
        <w:pStyle w:val="Compact"/>
        <w:numPr>
          <w:ilvl w:val="0"/>
          <w:numId w:val="1010"/>
        </w:numPr>
      </w:pPr>
      <w:r>
        <w:t xml:space="preserve">The outbreak expands beyond the currently identified scope</w:t>
      </w:r>
    </w:p>
    <w:p>
      <w:pPr>
        <w:pStyle w:val="Compact"/>
        <w:numPr>
          <w:ilvl w:val="0"/>
          <w:numId w:val="1010"/>
        </w:numPr>
      </w:pPr>
      <w:r>
        <w:t xml:space="preserve">KFC development or international demand weakens</w:t>
      </w:r>
    </w:p>
    <w:p>
      <w:pPr>
        <w:pStyle w:val="Compact"/>
        <w:numPr>
          <w:ilvl w:val="0"/>
          <w:numId w:val="1010"/>
        </w:numPr>
      </w:pPr>
      <w:r>
        <w:t xml:space="preserve">Pizza Hut closing, stranded costs or net proceeds disappoint</w:t>
      </w:r>
    </w:p>
    <w:p>
      <w:pPr>
        <w:pStyle w:val="Compact"/>
        <w:numPr>
          <w:ilvl w:val="0"/>
          <w:numId w:val="1010"/>
        </w:numPr>
      </w:pPr>
      <w:r>
        <w:t xml:space="preserve">Buyback timing is slower than investors expect</w:t>
      </w:r>
    </w:p>
    <w:bookmarkEnd w:id="32"/>
    <w:bookmarkEnd w:id="33"/>
    <w:bookmarkStart w:id="34" w:name="bottom-line"/>
    <w:p>
      <w:pPr>
        <w:pStyle w:val="Heading2"/>
      </w:pPr>
      <w:r>
        <w:t xml:space="preserve">Bottom line</w:t>
      </w:r>
    </w:p>
    <w:p>
      <w:pPr>
        <w:pStyle w:val="FirstParagraph"/>
      </w:pPr>
      <w:r>
        <w:rPr>
          <w:b/>
          <w:bCs/>
        </w:rPr>
        <w:t xml:space="preserve">Yum is entering the report with strong underlying Q2 fundamentals but an unusually uncertain second-half setup.</w:t>
      </w:r>
      <w:r>
        <w:t xml:space="preserve"> </w:t>
      </w:r>
      <w:r>
        <w:t xml:space="preserve">Taco Bell likely produced another impressive quarter, KFC should continue generating unit-led growth, and the Pizza Hut sale creates a cleaner company with substantial capital-return capacity.</w:t>
      </w:r>
    </w:p>
    <w:p>
      <w:pPr>
        <w:pStyle w:val="BodyText"/>
      </w:pPr>
      <w:r>
        <w:t xml:space="preserve">However, tomorrow’s decisive disclosure will be</w:t>
      </w:r>
      <w:r>
        <w:t xml:space="preserve"> </w:t>
      </w:r>
      <w:r>
        <w:rPr>
          <w:b/>
          <w:bCs/>
        </w:rPr>
        <w:t xml:space="preserve">current Taco Bell traffic and management’s confidence in the recovery</w:t>
      </w:r>
      <w:r>
        <w:t xml:space="preserve">. A reassuring July update could allow investors to refocus on a post-Pizza Hut portfolio centered on two high-quality growth engines. Vague commentary, worsening trends or reduced guidance would make a seemingly solid Q2 beat largely irrelevant.</w:t>
      </w:r>
    </w:p>
    <w:bookmarkEnd w:id="34"/>
    <w:bookmarkEnd w:id="3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25" Target="https://s2.q4cdn.com/890585342/files/doc_financials/2025/q2/Yum-Brands-Q2-25-Earnings-Release.pdf?utm_source=openai" TargetMode="External" /><Relationship Type="http://schemas.openxmlformats.org/officeDocument/2006/relationships/hyperlink" Id="rId13" Target="https://www.fda.gov/food/outbreaks-foodborne-illness/investigation-5-state-outbreak-cyclospora-illnesses-iceberg-lettuce-july-2026" TargetMode="External" /><Relationship Type="http://schemas.openxmlformats.org/officeDocument/2006/relationships/hyperlink" Id="rId17" Target="https://www.roic.ai/quote/YUM%3AAV/transcripts?utm_source=openai" TargetMode="External" /><Relationship Type="http://schemas.openxmlformats.org/officeDocument/2006/relationships/hyperlink" Id="rId12" Target="https://www.sec.gov/Archives/edgar/data/1041061/000104106126000108/a8kex9914292026.htm" TargetMode="External" /><Relationship Type="http://schemas.openxmlformats.org/officeDocument/2006/relationships/hyperlink" Id="rId18" Target="https://www.sec.gov/Archives/edgar/data/1041061/000119312526271893/d158986dex991.htm" TargetMode="External" /><Relationship Type="http://schemas.openxmlformats.org/officeDocument/2006/relationships/hyperlink" Id="rId16" Target="https://www.sec.gov/Archives/edgar/data/1041061/000119312526272881/d47355d8k.htm" TargetMode="External" /><Relationship Type="http://schemas.openxmlformats.org/officeDocument/2006/relationships/hyperlink" Id="rId26" Target="https://www.tipranks.com/stocks/yum/earnings/q1-2026-report?custom18=stockpage&amp;hash=slideDeck&amp;llf=earnings-event-entry&amp;utm_source=openai" TargetMode="External" /><Relationship Type="http://schemas.openxmlformats.org/officeDocument/2006/relationships/hyperlink" Id="rId10" Target="https://www.tipranks.com/stocks/yum/earnings?utm_source=openai" TargetMode="External" /></Relationships>
</file>

<file path=word/_rels/footnotes.xml.rels><?xml version="1.0" encoding="UTF-8"?><Relationships xmlns="http://schemas.openxmlformats.org/package/2006/relationships"><Relationship Type="http://schemas.openxmlformats.org/officeDocument/2006/relationships/hyperlink" Id="rId25" Target="https://s2.q4cdn.com/890585342/files/doc_financials/2025/q2/Yum-Brands-Q2-25-Earnings-Release.pdf?utm_source=openai" TargetMode="External" /><Relationship Type="http://schemas.openxmlformats.org/officeDocument/2006/relationships/hyperlink" Id="rId13" Target="https://www.fda.gov/food/outbreaks-foodborne-illness/investigation-5-state-outbreak-cyclospora-illnesses-iceberg-lettuce-july-2026" TargetMode="External" /><Relationship Type="http://schemas.openxmlformats.org/officeDocument/2006/relationships/hyperlink" Id="rId17" Target="https://www.roic.ai/quote/YUM%3AAV/transcripts?utm_source=openai" TargetMode="External" /><Relationship Type="http://schemas.openxmlformats.org/officeDocument/2006/relationships/hyperlink" Id="rId12" Target="https://www.sec.gov/Archives/edgar/data/1041061/000104106126000108/a8kex9914292026.htm" TargetMode="External" /><Relationship Type="http://schemas.openxmlformats.org/officeDocument/2006/relationships/hyperlink" Id="rId18" Target="https://www.sec.gov/Archives/edgar/data/1041061/000119312526271893/d158986dex991.htm" TargetMode="External" /><Relationship Type="http://schemas.openxmlformats.org/officeDocument/2006/relationships/hyperlink" Id="rId16" Target="https://www.sec.gov/Archives/edgar/data/1041061/000119312526272881/d47355d8k.htm" TargetMode="External" /><Relationship Type="http://schemas.openxmlformats.org/officeDocument/2006/relationships/hyperlink" Id="rId26" Target="https://www.tipranks.com/stocks/yum/earnings/q1-2026-report?custom18=stockpage&amp;hash=slideDeck&amp;llf=earnings-event-entry&amp;utm_source=openai" TargetMode="External" /><Relationship Type="http://schemas.openxmlformats.org/officeDocument/2006/relationships/hyperlink" Id="rId10" Target="https://www.tipranks.com/stocks/yum/earnings?utm_source=openai"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2026-07-29T17:59:45Z</dcterms:created>
  <dcterms:modified xsi:type="dcterms:W3CDTF">2026-07-29T17:59:45Z</dcterms:modified>
</cp:coreProperties>
</file>

<file path=docProps/custom.xml><?xml version="1.0" encoding="utf-8"?>
<Properties xmlns="http://schemas.openxmlformats.org/officeDocument/2006/custom-properties" xmlns:vt="http://schemas.openxmlformats.org/officeDocument/2006/docPropsVTypes"/>
</file>