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9" w:name="yum-earnings-predictions--2026-07-30"/>
    <w:p>
      <w:pPr>
        <w:pStyle w:val="Heading1"/>
      </w:pPr>
      <w:r>
        <w:t xml:space="preserve">YUM Earnings Predictions — 2026-07-30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Ticker</w:t>
            </w:r>
          </w:p>
        </w:tc>
        <w:tc>
          <w:tcPr/>
          <w:p>
            <w:pPr>
              <w:pStyle w:val="Compact"/>
            </w:pPr>
            <w:r>
              <w:t xml:space="preserve">Report or Guide</w:t>
            </w:r>
          </w:p>
        </w:tc>
        <w:tc>
          <w:tcPr/>
          <w:p>
            <w:pPr>
              <w:pStyle w:val="Compact"/>
            </w:pPr>
            <w:r>
              <w:t xml:space="preserve">KPI</w:t>
            </w:r>
          </w:p>
        </w:tc>
        <w:tc>
          <w:tcPr/>
          <w:p>
            <w:pPr>
              <w:pStyle w:val="Compact"/>
            </w:pPr>
            <w:r>
              <w:t xml:space="preserve">Prediction</w:t>
            </w:r>
          </w:p>
        </w:tc>
        <w:tc>
          <w:tcPr/>
          <w:p>
            <w:pPr>
              <w:pStyle w:val="Compact"/>
            </w:pPr>
            <w:r>
              <w:t xml:space="preserve">Answer</w:t>
            </w:r>
          </w:p>
        </w:tc>
        <w:tc>
          <w:tcPr/>
          <w:p>
            <w:pPr>
              <w:pStyle w:val="Compact"/>
            </w:pPr>
            <w:r>
              <w:t xml:space="preserve">Confidence</w:t>
            </w:r>
          </w:p>
        </w:tc>
      </w:tr>
      <w:tr>
        <w:tc>
          <w:tcPr/>
          <w:p>
            <w:pPr>
              <w:pStyle w:val="Compact"/>
            </w:pPr>
            <w:r>
              <w:t xml:space="preserve">YUM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Adjusted EPS</w:t>
            </w:r>
          </w:p>
        </w:tc>
        <w:tc>
          <w:tcPr/>
          <w:p>
            <w:pPr>
              <w:pStyle w:val="Compact"/>
            </w:pPr>
            <w:r>
              <w:t xml:space="preserve">BEAT</w:t>
            </w:r>
          </w:p>
        </w:tc>
        <w:tc>
          <w:tcPr/>
          <w:p>
            <w:pPr>
              <w:pStyle w:val="Compact"/>
            </w:pPr>
            <w:r>
              <w:t xml:space="preserve">pred ~$1.60 vs. cons $1.57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YUM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Taco Bell comparable-sales growth</w:t>
            </w:r>
          </w:p>
        </w:tc>
        <w:tc>
          <w:tcPr/>
          <w:p>
            <w:pPr>
              <w:pStyle w:val="Compact"/>
            </w:pPr>
            <w:r>
              <w:t xml:space="preserve">IN-LINE</w:t>
            </w:r>
          </w:p>
        </w:tc>
        <w:tc>
          <w:tcPr/>
          <w:p>
            <w:pPr>
              <w:pStyle w:val="Compact"/>
            </w:pPr>
            <w:r>
              <w:t xml:space="preserve">pred ~6.8% vs. cons 6.4%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YUM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KFC comparable-sales growth</w:t>
            </w:r>
          </w:p>
        </w:tc>
        <w:tc>
          <w:tcPr/>
          <w:p>
            <w:pPr>
              <w:pStyle w:val="Compact"/>
            </w:pPr>
            <w:r>
              <w:t xml:space="preserve">IN-LINE</w:t>
            </w:r>
          </w:p>
        </w:tc>
        <w:tc>
          <w:tcPr/>
          <w:p>
            <w:pPr>
              <w:pStyle w:val="Compact"/>
            </w:pPr>
            <w:r>
              <w:t xml:space="preserve">pred ~1.8% vs. cons 2.1%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YUM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Taco Bell U.S. restaurant-level margin outlook</w:t>
            </w:r>
          </w:p>
        </w:tc>
        <w:tc>
          <w:tcPr/>
          <w:p>
            <w:pPr>
              <w:pStyle w:val="Compact"/>
            </w:pPr>
            <w:r>
              <w:t xml:space="preserve">LOWER</w:t>
            </w:r>
          </w:p>
        </w:tc>
        <w:tc>
          <w:tcPr/>
          <w:p>
            <w:pPr>
              <w:pStyle w:val="Compact"/>
            </w:pPr>
            <w:r>
              <w:t xml:space="preserve">guide ~24.0% vs. cons 24.8% (FY2026)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YUM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Taco Bell U.S. comparable-sales commentary</w:t>
            </w:r>
          </w:p>
        </w:tc>
        <w:tc>
          <w:tcPr/>
          <w:p>
            <w:pPr>
              <w:pStyle w:val="Compact"/>
            </w:pPr>
            <w:r>
              <w:t xml:space="preserve">LOWER</w:t>
            </w:r>
          </w:p>
        </w:tc>
        <w:tc>
          <w:tcPr/>
          <w:p>
            <w:pPr>
              <w:pStyle w:val="Compact"/>
            </w:pPr>
            <w:r>
              <w:t xml:space="preserve">guide ~-4.0% vs. cons 1.5% (3Q2026)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YUM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Core operating-profit growth excluding Pizza Hut</w:t>
            </w:r>
          </w:p>
        </w:tc>
        <w:tc>
          <w:tcPr/>
          <w:p>
            <w:pPr>
              <w:pStyle w:val="Compact"/>
            </w:pPr>
            <w:r>
              <w:t xml:space="preserve">LOWER</w:t>
            </w:r>
          </w:p>
        </w:tc>
        <w:tc>
          <w:tcPr/>
          <w:p>
            <w:pPr>
              <w:pStyle w:val="Compact"/>
            </w:pPr>
            <w:r>
              <w:t xml:space="preserve">guide ~6.0% vs. cons 8.0% (FY2026)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YUM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Interest expense outlook</w:t>
            </w:r>
          </w:p>
        </w:tc>
        <w:tc>
          <w:tcPr/>
          <w:p>
            <w:pPr>
              <w:pStyle w:val="Compact"/>
            </w:pPr>
            <w:r>
              <w:t xml:space="preserve">UNCHANGED</w:t>
            </w:r>
          </w:p>
        </w:tc>
        <w:tc>
          <w:tcPr/>
          <w:p>
            <w:pPr>
              <w:pStyle w:val="Compact"/>
            </w:pPr>
            <w:r>
              <w:t xml:space="preserve">guide ~$515 million vs. cons $515 million (FY2026)</w:t>
            </w:r>
          </w:p>
        </w:tc>
        <w:tc>
          <w:tcPr/>
          <w:p>
            <w:pPr>
              <w:pStyle w:val="Compact"/>
            </w:pPr>
            <w:r>
              <w:t xml:space="preserve">HIGH</w:t>
            </w:r>
          </w:p>
        </w:tc>
      </w:tr>
      <w:tr>
        <w:tc>
          <w:tcPr/>
          <w:p>
            <w:pPr>
              <w:pStyle w:val="Compact"/>
            </w:pPr>
            <w:r>
              <w:t xml:space="preserve">YUM</w:t>
            </w:r>
          </w:p>
        </w:tc>
        <w:tc>
          <w:tcPr/>
          <w:p>
            <w:pPr>
              <w:pStyle w:val="Compact"/>
            </w:pPr>
            <w:r>
              <w:t xml:space="preserve">Return</w:t>
            </w:r>
          </w:p>
        </w:tc>
        <w:tc>
          <w:tcPr/>
          <w:p>
            <w:pPr>
              <w:pStyle w:val="Compact"/>
            </w:pPr>
            <w:r>
              <w:t xml:space="preserve">Day-1 residual (stock − beta × S&amp;P 500)</w:t>
            </w:r>
          </w:p>
        </w:tc>
        <w:tc>
          <w:tcPr/>
          <w:p>
            <w:pPr>
              <w:pStyle w:val="Compact"/>
            </w:pPr>
            <w:r>
              <w:t xml:space="preserve">-4.5%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YUM</w:t>
            </w:r>
          </w:p>
        </w:tc>
        <w:tc>
          <w:tcPr/>
          <w:p>
            <w:pPr>
              <w:pStyle w:val="Compact"/>
            </w:pPr>
            <w:r>
              <w:t xml:space="preserve">Return</w:t>
            </w:r>
          </w:p>
        </w:tc>
        <w:tc>
          <w:tcPr/>
          <w:p>
            <w:pPr>
              <w:pStyle w:val="Compact"/>
            </w:pPr>
            <w:r>
              <w:t xml:space="preserve">5-day cumulative residual</w:t>
            </w:r>
          </w:p>
        </w:tc>
        <w:tc>
          <w:tcPr/>
          <w:p>
            <w:pPr>
              <w:pStyle w:val="Compact"/>
            </w:pPr>
            <w:r>
              <w:t xml:space="preserve">-7.0% (FOLLOW-THROUGH)</w:t>
            </w:r>
          </w:p>
        </w:tc>
        <w:tc>
          <w:tcPr/>
          <w:p>
            <w:pPr>
              <w:pStyle w:val="Compact"/>
            </w:pPr>
            <w:r>
              <w:t xml:space="preserve">A modest historical-quarter EPS beat is outweighed by an implied Taco Bell traffic and margin reset: pred ~-4.0% 3Q Taco Bell comp versus cons 1.5% and pred ~6.0% FY core operating-profit growth versus cons 8.0% should drive out-period EPS revisions lower.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</w:tbl>
    <w:bookmarkEnd w:id="9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2026-07-29T17:56:44Z</dcterms:created>
  <dcterms:modified xsi:type="dcterms:W3CDTF">2026-07-29T17:56:44Z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