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5" w:name="X6ac1ba683d432190a44ba2ee520fd9a493a53c7"/>
    <w:p>
      <w:pPr>
        <w:pStyle w:val="Heading1"/>
      </w:pPr>
      <w:r>
        <w:t xml:space="preserve">Yum! Brands (NYSE: YUM) — 2Q26 Earnings Preview</w:t>
      </w:r>
    </w:p>
    <w:p>
      <w:pPr>
        <w:pStyle w:val="FirstParagraph"/>
      </w:pPr>
      <w:r>
        <w:rPr>
          <w:b/>
          <w:bCs/>
        </w:rPr>
        <w:t xml:space="preserve">Reports:</w:t>
      </w:r>
      <w:r>
        <w:t xml:space="preserve"> </w:t>
      </w:r>
      <w:r>
        <w:t xml:space="preserve">Thursday, July 30, 2026, before market open</w:t>
      </w:r>
      <w:r>
        <w:br/>
      </w:r>
      <w:r>
        <w:rPr>
          <w:b/>
          <w:bCs/>
        </w:rPr>
        <w:t xml:space="preserve">Event:</w:t>
      </w:r>
      <w:r>
        <w:t xml:space="preserve"> </w:t>
      </w:r>
      <w:r>
        <w:t xml:space="preserve">2026Q2 earnings call</w:t>
      </w:r>
    </w:p>
    <w:bookmarkStart w:id="9" w:name="bottom-line"/>
    <w:p>
      <w:pPr>
        <w:pStyle w:val="Heading2"/>
      </w:pPr>
      <w:r>
        <w:t xml:space="preserve">Bottom line</w:t>
      </w:r>
    </w:p>
    <w:p>
      <w:pPr>
        <w:pStyle w:val="FirstParagraph"/>
      </w:pPr>
      <w:r>
        <w:t xml:space="preserve">Yum! enters 2Q earnings with its</w:t>
      </w:r>
      <w:r>
        <w:t xml:space="preserve"> </w:t>
      </w:r>
      <w:r>
        <w:rPr>
          <w:b/>
          <w:bCs/>
        </w:rPr>
        <w:t xml:space="preserve">core operating story intact but its near-term narrative abruptly dominated by Taco Bell food-safety risk</w:t>
      </w:r>
      <w:r>
        <w:t xml:space="preserve">. The reported quarter should show continued strength at Taco Bell and steady global KFC development, while the more consequential investor debate will be:</w:t>
      </w:r>
    </w:p>
    <w:p>
      <w:pPr>
        <w:pStyle w:val="Compact"/>
        <w:numPr>
          <w:ilvl w:val="0"/>
          <w:numId w:val="1001"/>
        </w:numPr>
      </w:pPr>
      <w:r>
        <w:rPr>
          <w:b/>
          <w:bCs/>
        </w:rPr>
        <w:t xml:space="preserve">How much of Taco Bell’s July traffic weakness is temporary?</w:t>
      </w:r>
    </w:p>
    <w:p>
      <w:pPr>
        <w:pStyle w:val="Compact"/>
        <w:numPr>
          <w:ilvl w:val="0"/>
          <w:numId w:val="1001"/>
        </w:numPr>
      </w:pPr>
      <w:r>
        <w:rPr>
          <w:b/>
          <w:bCs/>
        </w:rPr>
        <w:t xml:space="preserve">Whether management can preserve confidence in Taco Bell’s second-half sales and margin outlook.</w:t>
      </w:r>
    </w:p>
    <w:p>
      <w:pPr>
        <w:pStyle w:val="Compact"/>
        <w:numPr>
          <w:ilvl w:val="0"/>
          <w:numId w:val="1001"/>
        </w:numPr>
      </w:pPr>
      <w:r>
        <w:rPr>
          <w:b/>
          <w:bCs/>
        </w:rPr>
        <w:t xml:space="preserve">How Yum frames the financial reset following the announced sale of Pizza Hut.</w:t>
      </w:r>
    </w:p>
    <w:p>
      <w:pPr>
        <w:pStyle w:val="FirstParagraph"/>
      </w:pPr>
      <w:r>
        <w:t xml:space="preserve">The setup is unusual: the Q2 P&amp;L largely precedes the Taco Bell cyclospora situation, so a numerical beat driven by historical results may matter less than management’s early read on July trends, remediation, brand recovery, and potential Q3 implications.</w:t>
      </w:r>
    </w:p>
    <w:p>
      <w:r>
        <w:pict>
          <v:rect style="width:0;height:1.5pt" o:hralign="center" o:hrstd="t" o:hr="t"/>
        </w:pict>
      </w:r>
    </w:p>
    <w:bookmarkEnd w:id="9"/>
    <w:bookmarkStart w:id="10" w:name="what-the-street-expects"/>
    <w:p>
      <w:pPr>
        <w:pStyle w:val="Heading2"/>
      </w:pPr>
      <w:r>
        <w:t xml:space="preserve">What the Street expects</w:t>
      </w:r>
    </w:p>
    <w:p>
      <w:pPr>
        <w:pStyle w:val="FirstParagraph"/>
      </w:pPr>
      <w:r>
        <w:t xml:space="preserve">Recent market expectations call for:</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Metric</w:t>
            </w:r>
          </w:p>
        </w:tc>
        <w:tc>
          <w:tcPr/>
          <w:p>
            <w:pPr>
              <w:pStyle w:val="Compact"/>
              <w:jc w:val="right"/>
            </w:pPr>
            <w:r>
              <w:t xml:space="preserve">Street expectation</w:t>
            </w:r>
          </w:p>
        </w:tc>
      </w:tr>
      <w:tr>
        <w:tc>
          <w:tcPr/>
          <w:p>
            <w:pPr>
              <w:pStyle w:val="Compact"/>
            </w:pPr>
            <w:r>
              <w:t xml:space="preserve">Adjusted EPS</w:t>
            </w:r>
          </w:p>
        </w:tc>
        <w:tc>
          <w:tcPr/>
          <w:p>
            <w:pPr>
              <w:pStyle w:val="Compact"/>
              <w:jc w:val="right"/>
            </w:pPr>
            <w:r>
              <w:rPr>
                <w:b/>
                <w:bCs/>
              </w:rPr>
              <w:t xml:space="preserve">$1.57</w:t>
            </w:r>
          </w:p>
        </w:tc>
      </w:tr>
      <w:tr>
        <w:tc>
          <w:tcPr/>
          <w:p>
            <w:pPr>
              <w:pStyle w:val="Compact"/>
            </w:pPr>
            <w:r>
              <w:t xml:space="preserve">Aggregate comparable-sales growth</w:t>
            </w:r>
          </w:p>
        </w:tc>
        <w:tc>
          <w:tcPr/>
          <w:p>
            <w:pPr>
              <w:pStyle w:val="Compact"/>
              <w:jc w:val="right"/>
            </w:pPr>
            <w:r>
              <w:rPr>
                <w:b/>
                <w:bCs/>
              </w:rPr>
              <w:t xml:space="preserve">~2.9%</w:t>
            </w:r>
          </w:p>
        </w:tc>
      </w:tr>
      <w:tr>
        <w:tc>
          <w:tcPr/>
          <w:p>
            <w:pPr>
              <w:pStyle w:val="Compact"/>
            </w:pPr>
            <w:r>
              <w:t xml:space="preserve">Taco Bell comparable-sales growth</w:t>
            </w:r>
          </w:p>
        </w:tc>
        <w:tc>
          <w:tcPr/>
          <w:p>
            <w:pPr>
              <w:pStyle w:val="Compact"/>
              <w:jc w:val="right"/>
            </w:pPr>
            <w:r>
              <w:rPr>
                <w:b/>
                <w:bCs/>
              </w:rPr>
              <w:t xml:space="preserve">~6.4%</w:t>
            </w:r>
          </w:p>
        </w:tc>
      </w:tr>
      <w:tr>
        <w:tc>
          <w:tcPr/>
          <w:p>
            <w:pPr>
              <w:pStyle w:val="Compact"/>
            </w:pPr>
            <w:r>
              <w:t xml:space="preserve">KFC comparable-sales growth</w:t>
            </w:r>
          </w:p>
        </w:tc>
        <w:tc>
          <w:tcPr/>
          <w:p>
            <w:pPr>
              <w:pStyle w:val="Compact"/>
              <w:jc w:val="right"/>
            </w:pPr>
            <w:r>
              <w:rPr>
                <w:b/>
                <w:bCs/>
              </w:rPr>
              <w:t xml:space="preserve">~2.1%</w:t>
            </w:r>
          </w:p>
        </w:tc>
      </w:tr>
    </w:tbl>
    <w:p>
      <w:pPr>
        <w:pStyle w:val="BodyText"/>
      </w:pPr>
      <w:r>
        <w:t xml:space="preserve">The core expectation is therefore for a solid, Taco Bell-led quarter—not a major acceleration in the consolidated result.</w:t>
      </w:r>
    </w:p>
    <w:p>
      <w:pPr>
        <w:pStyle w:val="BodyText"/>
      </w:pPr>
      <w:r>
        <w:rPr>
          <w:b/>
          <w:bCs/>
        </w:rPr>
        <w:t xml:space="preserve">The important distinction:</w:t>
      </w:r>
      <w:r>
        <w:t xml:space="preserve"> </w:t>
      </w:r>
      <w:r>
        <w:t xml:space="preserve">Yum’s June 16 Pizza Hut transaction announcement said management would provide updated information on the transaction’s financial impact and any changes to 2026 outlook on this call. That makes the guidance and capital-allocation discussion at least as important as the EPS comparison.</w:t>
      </w:r>
    </w:p>
    <w:p>
      <w:r>
        <w:pict>
          <v:rect style="width:0;height:1.5pt" o:hralign="center" o:hrstd="t" o:hr="t"/>
        </w:pict>
      </w:r>
    </w:p>
    <w:bookmarkEnd w:id="10"/>
    <w:bookmarkStart w:id="14" w:name="X20fc26e4a050f31f3eff1ffd933434d9ee655ed"/>
    <w:p>
      <w:pPr>
        <w:pStyle w:val="Heading2"/>
      </w:pPr>
      <w:r>
        <w:t xml:space="preserve">Why the quarter could be fundamentally solid</w:t>
      </w:r>
    </w:p>
    <w:bookmarkStart w:id="11" w:name="X375d6eae523adf7f0929fba071637982278fdfe"/>
    <w:p>
      <w:pPr>
        <w:pStyle w:val="Heading3"/>
      </w:pPr>
      <w:r>
        <w:t xml:space="preserve">1. Taco Bell had entered Q2 with exceptional momentum</w:t>
      </w:r>
    </w:p>
    <w:p>
      <w:pPr>
        <w:pStyle w:val="FirstParagraph"/>
      </w:pPr>
      <w:r>
        <w:t xml:space="preserve">In 1Q26, Taco Bell U.S. posted</w:t>
      </w:r>
      <w:r>
        <w:t xml:space="preserve"> </w:t>
      </w:r>
      <w:r>
        <w:rPr>
          <w:b/>
          <w:bCs/>
        </w:rPr>
        <w:t xml:space="preserve">8% same-store sales growth</w:t>
      </w:r>
      <w:r>
        <w:t xml:space="preserve">, including approximately</w:t>
      </w:r>
      <w:r>
        <w:t xml:space="preserve"> </w:t>
      </w:r>
      <w:r>
        <w:rPr>
          <w:b/>
          <w:bCs/>
        </w:rPr>
        <w:t xml:space="preserve">3 points of transaction growth</w:t>
      </w:r>
      <w:r>
        <w:t xml:space="preserve">, while U.S. system sales rose 10%. Management emphasized that the Luxe Value Menu, digital/loyalty engagement, innovation, and improved restaurant execution were working together—not merely price.</w:t>
      </w:r>
    </w:p>
    <w:p>
      <w:pPr>
        <w:pStyle w:val="BodyText"/>
      </w:pPr>
      <w:r>
        <w:t xml:space="preserve">Other 1Q indicators underscored the brand’s strength:</w:t>
      </w:r>
    </w:p>
    <w:p>
      <w:pPr>
        <w:pStyle w:val="Compact"/>
        <w:numPr>
          <w:ilvl w:val="0"/>
          <w:numId w:val="1002"/>
        </w:numPr>
      </w:pPr>
      <w:r>
        <w:t xml:space="preserve">Taco Bell division system sales grew</w:t>
      </w:r>
      <w:r>
        <w:t xml:space="preserve"> </w:t>
      </w:r>
      <w:r>
        <w:rPr>
          <w:b/>
          <w:bCs/>
        </w:rPr>
        <w:t xml:space="preserve">10%</w:t>
      </w:r>
      <w:r>
        <w:t xml:space="preserve">.</w:t>
      </w:r>
    </w:p>
    <w:p>
      <w:pPr>
        <w:pStyle w:val="Compact"/>
        <w:numPr>
          <w:ilvl w:val="0"/>
          <w:numId w:val="1002"/>
        </w:numPr>
      </w:pPr>
      <w:r>
        <w:t xml:space="preserve">Division operating profit grew</w:t>
      </w:r>
      <w:r>
        <w:t xml:space="preserve"> </w:t>
      </w:r>
      <w:r>
        <w:rPr>
          <w:b/>
          <w:bCs/>
        </w:rPr>
        <w:t xml:space="preserve">16%</w:t>
      </w:r>
      <w:r>
        <w:t xml:space="preserve">.</w:t>
      </w:r>
    </w:p>
    <w:p>
      <w:pPr>
        <w:pStyle w:val="Compact"/>
        <w:numPr>
          <w:ilvl w:val="0"/>
          <w:numId w:val="1002"/>
        </w:numPr>
      </w:pPr>
      <w:r>
        <w:t xml:space="preserve">U.S. company-operated restaurant margin was</w:t>
      </w:r>
      <w:r>
        <w:t xml:space="preserve"> </w:t>
      </w:r>
      <w:r>
        <w:rPr>
          <w:b/>
          <w:bCs/>
        </w:rPr>
        <w:t xml:space="preserve">23.9%</w:t>
      </w:r>
      <w:r>
        <w:t xml:space="preserve">.</w:t>
      </w:r>
    </w:p>
    <w:p>
      <w:pPr>
        <w:pStyle w:val="Compact"/>
        <w:numPr>
          <w:ilvl w:val="0"/>
          <w:numId w:val="1002"/>
        </w:numPr>
      </w:pPr>
      <w:r>
        <w:t xml:space="preserve">Management raised its full-year Taco Bell U.S. restaurant-level margin outlook to</w:t>
      </w:r>
      <w:r>
        <w:t xml:space="preserve"> </w:t>
      </w:r>
      <w:r>
        <w:rPr>
          <w:b/>
          <w:bCs/>
        </w:rPr>
        <w:t xml:space="preserve">24.5%–25.5%</w:t>
      </w:r>
      <w:r>
        <w:t xml:space="preserve">.</w:t>
      </w:r>
    </w:p>
    <w:p>
      <w:pPr>
        <w:pStyle w:val="Compact"/>
        <w:numPr>
          <w:ilvl w:val="0"/>
          <w:numId w:val="1002"/>
        </w:numPr>
      </w:pPr>
      <w:r>
        <w:t xml:space="preserve">Taco Bell International system sales grew</w:t>
      </w:r>
      <w:r>
        <w:t xml:space="preserve"> </w:t>
      </w:r>
      <w:r>
        <w:rPr>
          <w:b/>
          <w:bCs/>
        </w:rPr>
        <w:t xml:space="preserve">16%</w:t>
      </w:r>
      <w:r>
        <w:t xml:space="preserve">.</w:t>
      </w:r>
    </w:p>
    <w:p>
      <w:pPr>
        <w:pStyle w:val="FirstParagraph"/>
      </w:pPr>
      <w:r>
        <w:t xml:space="preserve">A Q2 result near the consensus mid-single-digit Taco Bell comp would ordinarily reinforce the view that Yum owns one of the highest-quality U.S. QSR growth assets.</w:t>
      </w:r>
    </w:p>
    <w:bookmarkEnd w:id="11"/>
    <w:bookmarkStart w:id="12" w:name="X6a5f964eed0210ff714cf88e09da20e094183f6"/>
    <w:p>
      <w:pPr>
        <w:pStyle w:val="Heading3"/>
      </w:pPr>
      <w:r>
        <w:t xml:space="preserve">2. KFC is still delivering the development engine</w:t>
      </w:r>
    </w:p>
    <w:p>
      <w:pPr>
        <w:pStyle w:val="FirstParagraph"/>
      </w:pPr>
      <w:r>
        <w:t xml:space="preserve">KFC began 2026 with</w:t>
      </w:r>
      <w:r>
        <w:t xml:space="preserve"> </w:t>
      </w:r>
      <w:r>
        <w:rPr>
          <w:b/>
          <w:bCs/>
        </w:rPr>
        <w:t xml:space="preserve">6% system-sales growth</w:t>
      </w:r>
      <w:r>
        <w:t xml:space="preserve"> </w:t>
      </w:r>
      <w:r>
        <w:t xml:space="preserve">and</w:t>
      </w:r>
      <w:r>
        <w:t xml:space="preserve"> </w:t>
      </w:r>
      <w:r>
        <w:rPr>
          <w:b/>
          <w:bCs/>
        </w:rPr>
        <w:t xml:space="preserve">7% unit growth</w:t>
      </w:r>
      <w:r>
        <w:t xml:space="preserve">, opening 648 gross units across 45 countries in 1Q. That scale matters: unit development, especially outside the United States, remains the primary route to Yum’s long-term 5% unit-growth target.</w:t>
      </w:r>
    </w:p>
    <w:p>
      <w:pPr>
        <w:pStyle w:val="BodyText"/>
      </w:pPr>
      <w:r>
        <w:t xml:space="preserve">Investors should focus on:</w:t>
      </w:r>
    </w:p>
    <w:p>
      <w:pPr>
        <w:pStyle w:val="Compact"/>
        <w:numPr>
          <w:ilvl w:val="0"/>
          <w:numId w:val="1003"/>
        </w:numPr>
      </w:pPr>
      <w:r>
        <w:rPr>
          <w:b/>
          <w:bCs/>
        </w:rPr>
        <w:t xml:space="preserve">KFC China:</w:t>
      </w:r>
      <w:r>
        <w:t xml:space="preserve"> </w:t>
      </w:r>
      <w:r>
        <w:t xml:space="preserve">A major source of system sales and a key determinant of global growth.</w:t>
      </w:r>
    </w:p>
    <w:p>
      <w:pPr>
        <w:pStyle w:val="Compact"/>
        <w:numPr>
          <w:ilvl w:val="0"/>
          <w:numId w:val="1003"/>
        </w:numPr>
      </w:pPr>
      <w:r>
        <w:rPr>
          <w:b/>
          <w:bCs/>
        </w:rPr>
        <w:t xml:space="preserve">International same-store sales:</w:t>
      </w:r>
      <w:r>
        <w:t xml:space="preserve"> </w:t>
      </w:r>
      <w:r>
        <w:t xml:space="preserve">Especially Europe, Asia, India, Latin America and the Middle East/Turkey/North Africa.</w:t>
      </w:r>
    </w:p>
    <w:p>
      <w:pPr>
        <w:pStyle w:val="Compact"/>
        <w:numPr>
          <w:ilvl w:val="0"/>
          <w:numId w:val="1003"/>
        </w:numPr>
      </w:pPr>
      <w:r>
        <w:rPr>
          <w:b/>
          <w:bCs/>
        </w:rPr>
        <w:t xml:space="preserve">Unit-development cadence:</w:t>
      </w:r>
      <w:r>
        <w:t xml:space="preserve"> </w:t>
      </w:r>
      <w:r>
        <w:t xml:space="preserve">Management previously said it saw no change to KFC’s development plans despite geopolitical and supply-chain complications.</w:t>
      </w:r>
    </w:p>
    <w:p>
      <w:pPr>
        <w:pStyle w:val="Compact"/>
        <w:numPr>
          <w:ilvl w:val="0"/>
          <w:numId w:val="1003"/>
        </w:numPr>
      </w:pPr>
      <w:r>
        <w:rPr>
          <w:b/>
          <w:bCs/>
        </w:rPr>
        <w:t xml:space="preserve">Restaurant economics:</w:t>
      </w:r>
      <w:r>
        <w:t xml:space="preserve"> </w:t>
      </w:r>
      <w:r>
        <w:t xml:space="preserve">Yum’s “Raise the Bar” agenda puts heavier emphasis on reducing build costs, improving franchisee paybacks, and using scale to improve returns.</w:t>
      </w:r>
    </w:p>
    <w:bookmarkEnd w:id="12"/>
    <w:bookmarkStart w:id="13" w:name="X48a545f7ef462b828ce6d83a88991b9fe3ca592"/>
    <w:p>
      <w:pPr>
        <w:pStyle w:val="Heading3"/>
      </w:pPr>
      <w:r>
        <w:t xml:space="preserve">3. Digital remains a strategic differentiator</w:t>
      </w:r>
    </w:p>
    <w:p>
      <w:pPr>
        <w:pStyle w:val="FirstParagraph"/>
      </w:pPr>
      <w:r>
        <w:t xml:space="preserve">Yum’s digital system sales approached</w:t>
      </w:r>
      <w:r>
        <w:t xml:space="preserve"> </w:t>
      </w:r>
      <w:r>
        <w:rPr>
          <w:b/>
          <w:bCs/>
        </w:rPr>
        <w:t xml:space="preserve">$11 billion</w:t>
      </w:r>
      <w:r>
        <w:t xml:space="preserve"> </w:t>
      </w:r>
      <w:r>
        <w:t xml:space="preserve">in 1Q, with a record</w:t>
      </w:r>
      <w:r>
        <w:t xml:space="preserve"> </w:t>
      </w:r>
      <w:r>
        <w:rPr>
          <w:b/>
          <w:bCs/>
        </w:rPr>
        <w:t xml:space="preserve">63% digital mix</w:t>
      </w:r>
      <w:r>
        <w:t xml:space="preserve">. Byte by Yum! remains central to the long-term thesis: it supports loyalty, personalization, restaurant operations, and potentially lower technology-development costs as AI tools scale.</w:t>
      </w:r>
    </w:p>
    <w:p>
      <w:pPr>
        <w:pStyle w:val="BodyText"/>
      </w:pPr>
      <w:r>
        <w:t xml:space="preserve">For 2Q, investors will look for evidence that these investments are becoming financially material—not just strategically attractive—through sales lift, operational efficiencies, franchisee adoption, or lower G&amp;A intensity over time.</w:t>
      </w:r>
    </w:p>
    <w:p>
      <w:r>
        <w:pict>
          <v:rect style="width:0;height:1.5pt" o:hralign="center" o:hrstd="t" o:hr="t"/>
        </w:pict>
      </w:r>
    </w:p>
    <w:bookmarkEnd w:id="13"/>
    <w:bookmarkEnd w:id="14"/>
    <w:bookmarkStart w:id="16" w:name="Xc3803d196f31256f011871dd04caa5aa5d2f5ed"/>
    <w:p>
      <w:pPr>
        <w:pStyle w:val="Heading2"/>
      </w:pPr>
      <w:r>
        <w:t xml:space="preserve">The dominant issue: Taco Bell food safety and July traffic</w:t>
      </w:r>
    </w:p>
    <w:p>
      <w:pPr>
        <w:pStyle w:val="FirstParagraph"/>
      </w:pPr>
      <w:r>
        <w:t xml:space="preserve">The market’s focus has shifted sharply since the quarter ended. Taco Bell has been linked to a cyclospora outbreak that investigators believe may be connected to shredded iceberg lettuce from a supplier. News reports indicated meaningful traffic pressure in July and that Taco Bell had taken precautionary steps, including changes to certain ingredients at select locations.</w:t>
      </w:r>
    </w:p>
    <w:p>
      <w:pPr>
        <w:pStyle w:val="BodyText"/>
      </w:pPr>
      <w:r>
        <w:t xml:space="preserve">This creates a</w:t>
      </w:r>
      <w:r>
        <w:t xml:space="preserve"> </w:t>
      </w:r>
      <w:r>
        <w:rPr>
          <w:b/>
          <w:bCs/>
        </w:rPr>
        <w:t xml:space="preserve">timing mismatch</w:t>
      </w:r>
      <w:r>
        <w:t xml:space="preserve">:</w:t>
      </w:r>
    </w:p>
    <w:p>
      <w:pPr>
        <w:pStyle w:val="Compact"/>
        <w:numPr>
          <w:ilvl w:val="0"/>
          <w:numId w:val="1004"/>
        </w:numPr>
      </w:pPr>
      <w:r>
        <w:rPr>
          <w:b/>
          <w:bCs/>
        </w:rPr>
        <w:t xml:space="preserve">2Q reported results:</w:t>
      </w:r>
      <w:r>
        <w:t xml:space="preserve"> </w:t>
      </w:r>
      <w:r>
        <w:t xml:space="preserve">likely retain the benefit of Taco Bell’s pre-outbreak momentum.</w:t>
      </w:r>
    </w:p>
    <w:p>
      <w:pPr>
        <w:pStyle w:val="Compact"/>
        <w:numPr>
          <w:ilvl w:val="0"/>
          <w:numId w:val="1004"/>
        </w:numPr>
      </w:pPr>
      <w:r>
        <w:rPr>
          <w:b/>
          <w:bCs/>
        </w:rPr>
        <w:t xml:space="preserve">Q3 outlook and current trading commentary:</w:t>
      </w:r>
      <w:r>
        <w:t xml:space="preserve"> </w:t>
      </w:r>
      <w:r>
        <w:t xml:space="preserve">could reflect a material disruption in customer traffic, promotional spending, franchisee sales, and potentially margins.</w:t>
      </w:r>
    </w:p>
    <w:p>
      <w:pPr>
        <w:pStyle w:val="FirstParagraph"/>
      </w:pPr>
      <w:r>
        <w:t xml:space="preserve">YUM shares fell roughly</w:t>
      </w:r>
      <w:r>
        <w:t xml:space="preserve"> </w:t>
      </w:r>
      <w:r>
        <w:rPr>
          <w:b/>
          <w:bCs/>
        </w:rPr>
        <w:t xml:space="preserve">11% from the July 8 close to the July 21 close</w:t>
      </w:r>
      <w:r>
        <w:t xml:space="preserve"> </w:t>
      </w:r>
      <w:r>
        <w:t xml:space="preserve">before recovering modestly; at the July 29 close of about $152.23, the stock remained roughly</w:t>
      </w:r>
      <w:r>
        <w:t xml:space="preserve"> </w:t>
      </w:r>
      <w:r>
        <w:rPr>
          <w:b/>
          <w:bCs/>
        </w:rPr>
        <w:t xml:space="preserve">7.9% below its July 8 close</w:t>
      </w:r>
      <w:r>
        <w:t xml:space="preserve">.</w:t>
      </w:r>
    </w:p>
    <w:bookmarkStart w:id="15" w:name="what-investors-need-to-hear-on-the-call"/>
    <w:p>
      <w:pPr>
        <w:pStyle w:val="Heading3"/>
      </w:pPr>
      <w:r>
        <w:t xml:space="preserve">What investors need to hear on the call</w:t>
      </w:r>
    </w:p>
    <w:p>
      <w:pPr>
        <w:pStyle w:val="FirstParagraph"/>
      </w:pPr>
      <w:r>
        <w:t xml:space="preserve">The strongest possible message would include:</w:t>
      </w:r>
    </w:p>
    <w:p>
      <w:pPr>
        <w:pStyle w:val="Compact"/>
        <w:numPr>
          <w:ilvl w:val="0"/>
          <w:numId w:val="1005"/>
        </w:numPr>
      </w:pPr>
      <w:r>
        <w:t xml:space="preserve">Confirmation of the source and scope of the issue, as far as management can responsibly provide.</w:t>
      </w:r>
    </w:p>
    <w:p>
      <w:pPr>
        <w:pStyle w:val="Compact"/>
        <w:numPr>
          <w:ilvl w:val="0"/>
          <w:numId w:val="1005"/>
        </w:numPr>
      </w:pPr>
      <w:r>
        <w:t xml:space="preserve">Specificity on ingredient removal, supplier actions, sanitation protocols, and regulatory cooperation.</w:t>
      </w:r>
    </w:p>
    <w:p>
      <w:pPr>
        <w:pStyle w:val="Compact"/>
        <w:numPr>
          <w:ilvl w:val="0"/>
          <w:numId w:val="1005"/>
        </w:numPr>
      </w:pPr>
      <w:r>
        <w:t xml:space="preserve">A quantitative description of the July sales impact—or at least a clear direction of travel by week.</w:t>
      </w:r>
    </w:p>
    <w:p>
      <w:pPr>
        <w:pStyle w:val="Compact"/>
        <w:numPr>
          <w:ilvl w:val="0"/>
          <w:numId w:val="1005"/>
        </w:numPr>
      </w:pPr>
      <w:r>
        <w:t xml:space="preserve">Evidence that consumer traffic is stabilizing.</w:t>
      </w:r>
    </w:p>
    <w:p>
      <w:pPr>
        <w:pStyle w:val="Compact"/>
        <w:numPr>
          <w:ilvl w:val="0"/>
          <w:numId w:val="1005"/>
        </w:numPr>
      </w:pPr>
      <w:r>
        <w:t xml:space="preserve">A view on whether Taco Bell must lean more heavily on value promotions, and the likely effect on restaurant-level margins.</w:t>
      </w:r>
    </w:p>
    <w:p>
      <w:pPr>
        <w:pStyle w:val="Compact"/>
        <w:numPr>
          <w:ilvl w:val="0"/>
          <w:numId w:val="1005"/>
        </w:numPr>
      </w:pPr>
      <w:r>
        <w:t xml:space="preserve">Clear separation between a short-term acute event and any longer-term brand-trust issue.</w:t>
      </w:r>
    </w:p>
    <w:p>
      <w:pPr>
        <w:pStyle w:val="FirstParagraph"/>
      </w:pPr>
      <w:r>
        <w:t xml:space="preserve">The risk is not simply a one-quarter comp miss. Taco Bell is Yum’s key earnings-growth and valuation-supporting asset. If the brand’s customer proposition is impaired or recovery proves slower than expected, the investment case changes more meaningfully.</w:t>
      </w:r>
    </w:p>
    <w:p>
      <w:r>
        <w:pict>
          <v:rect style="width:0;height:1.5pt" o:hralign="center" o:hrstd="t" o:hr="t"/>
        </w:pict>
      </w:r>
    </w:p>
    <w:bookmarkEnd w:id="15"/>
    <w:bookmarkEnd w:id="16"/>
    <w:bookmarkStart w:id="18" w:name="pizza-hut-sale-the-other-major-catalyst"/>
    <w:p>
      <w:pPr>
        <w:pStyle w:val="Heading2"/>
      </w:pPr>
      <w:r>
        <w:t xml:space="preserve">Pizza Hut sale: the other major catalyst</w:t>
      </w:r>
    </w:p>
    <w:p>
      <w:pPr>
        <w:pStyle w:val="FirstParagraph"/>
      </w:pPr>
      <w:r>
        <w:t xml:space="preserve">On June 16, Yum announced agreements to sell Pizza Hut for approximately</w:t>
      </w:r>
      <w:r>
        <w:t xml:space="preserve"> </w:t>
      </w:r>
      <w:r>
        <w:rPr>
          <w:b/>
          <w:bCs/>
        </w:rPr>
        <w:t xml:space="preserve">$2.7 billion in aggregate consideration</w:t>
      </w:r>
      <w:r>
        <w:t xml:space="preserve">:</w:t>
      </w:r>
    </w:p>
    <w:p>
      <w:pPr>
        <w:pStyle w:val="Compact"/>
        <w:numPr>
          <w:ilvl w:val="0"/>
          <w:numId w:val="1006"/>
        </w:numPr>
      </w:pPr>
      <w:r>
        <w:rPr>
          <w:b/>
          <w:bCs/>
        </w:rPr>
        <w:t xml:space="preserve">Pizza Hut ex-China:</w:t>
      </w:r>
      <w:r>
        <w:t xml:space="preserve"> </w:t>
      </w:r>
      <w:r>
        <w:t xml:space="preserve">approximately</w:t>
      </w:r>
      <w:r>
        <w:t xml:space="preserve"> </w:t>
      </w:r>
      <w:r>
        <w:rPr>
          <w:b/>
          <w:bCs/>
        </w:rPr>
        <w:t xml:space="preserve">$1.5 billion</w:t>
      </w:r>
      <w:r>
        <w:t xml:space="preserve"> </w:t>
      </w:r>
      <w:r>
        <w:t xml:space="preserve">sale to LongRange Capital, plus a potential $75 million earn-out.</w:t>
      </w:r>
    </w:p>
    <w:p>
      <w:pPr>
        <w:pStyle w:val="Compact"/>
        <w:numPr>
          <w:ilvl w:val="0"/>
          <w:numId w:val="1006"/>
        </w:numPr>
      </w:pPr>
      <w:r>
        <w:rPr>
          <w:b/>
          <w:bCs/>
        </w:rPr>
        <w:t xml:space="preserve">Pizza Hut China:</w:t>
      </w:r>
      <w:r>
        <w:t xml:space="preserve"> </w:t>
      </w:r>
      <w:r>
        <w:t xml:space="preserve">approximately</w:t>
      </w:r>
      <w:r>
        <w:t xml:space="preserve"> </w:t>
      </w:r>
      <w:r>
        <w:rPr>
          <w:b/>
          <w:bCs/>
        </w:rPr>
        <w:t xml:space="preserve">$1.2 billion</w:t>
      </w:r>
      <w:r>
        <w:t xml:space="preserve"> </w:t>
      </w:r>
      <w:r>
        <w:t xml:space="preserve">sale to Yum China.</w:t>
      </w:r>
    </w:p>
    <w:p>
      <w:pPr>
        <w:pStyle w:val="Compact"/>
        <w:numPr>
          <w:ilvl w:val="0"/>
          <w:numId w:val="1006"/>
        </w:numPr>
      </w:pPr>
      <w:r>
        <w:t xml:space="preserve">Expected net proceeds after taxes, adjustments and transaction-contingent fees: approximately</w:t>
      </w:r>
      <w:r>
        <w:t xml:space="preserve"> </w:t>
      </w:r>
      <w:r>
        <w:rPr>
          <w:b/>
          <w:bCs/>
        </w:rPr>
        <w:t xml:space="preserve">$2.3 billion</w:t>
      </w:r>
      <w:r>
        <w:t xml:space="preserve">, excluding the earn-out.</w:t>
      </w:r>
    </w:p>
    <w:p>
      <w:pPr>
        <w:pStyle w:val="Compact"/>
        <w:numPr>
          <w:ilvl w:val="0"/>
          <w:numId w:val="1006"/>
        </w:numPr>
      </w:pPr>
      <w:r>
        <w:t xml:space="preserve">Expected one-time separation expenses through the remainder of 2026: approximately</w:t>
      </w:r>
      <w:r>
        <w:t xml:space="preserve"> </w:t>
      </w:r>
      <w:r>
        <w:rPr>
          <w:b/>
          <w:bCs/>
        </w:rPr>
        <w:t xml:space="preserve">$85 million</w:t>
      </w:r>
      <w:r>
        <w:t xml:space="preserve">.</w:t>
      </w:r>
    </w:p>
    <w:p>
      <w:pPr>
        <w:pStyle w:val="Compact"/>
        <w:numPr>
          <w:ilvl w:val="0"/>
          <w:numId w:val="1006"/>
        </w:numPr>
      </w:pPr>
      <w:r>
        <w:t xml:space="preserve">Both transactions were expected to close in</w:t>
      </w:r>
      <w:r>
        <w:t xml:space="preserve"> </w:t>
      </w:r>
      <w:r>
        <w:rPr>
          <w:b/>
          <w:bCs/>
        </w:rPr>
        <w:t xml:space="preserve">3Q26</w:t>
      </w:r>
      <w:r>
        <w:t xml:space="preserve">, subject to customary conditions.</w:t>
      </w:r>
    </w:p>
    <w:p>
      <w:pPr>
        <w:pStyle w:val="FirstParagraph"/>
      </w:pPr>
      <w:r>
        <w:t xml:space="preserve">The Board also authorized an</w:t>
      </w:r>
      <w:r>
        <w:t xml:space="preserve"> </w:t>
      </w:r>
      <w:r>
        <w:rPr>
          <w:b/>
          <w:bCs/>
        </w:rPr>
        <w:t xml:space="preserve">incremental $4 billion share-repurchase program</w:t>
      </w:r>
      <w:r>
        <w:t xml:space="preserve">, in addition to roughly $400 million remaining under the prior authorization.</w:t>
      </w:r>
    </w:p>
    <w:bookmarkStart w:id="17" w:name="why-the-transaction-matters"/>
    <w:p>
      <w:pPr>
        <w:pStyle w:val="Heading3"/>
      </w:pPr>
      <w:r>
        <w:t xml:space="preserve">Why the transaction matters</w:t>
      </w:r>
    </w:p>
    <w:p>
      <w:pPr>
        <w:pStyle w:val="FirstParagraph"/>
      </w:pPr>
      <w:r>
        <w:t xml:space="preserve">Pizza Hut was a drag on Yum’s 1Q results:</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1Q26 metric</w:t>
            </w:r>
          </w:p>
        </w:tc>
        <w:tc>
          <w:tcPr/>
          <w:p>
            <w:pPr>
              <w:pStyle w:val="Compact"/>
              <w:jc w:val="right"/>
            </w:pPr>
            <w:r>
              <w:t xml:space="preserve">Pizza Hut</w:t>
            </w:r>
          </w:p>
        </w:tc>
        <w:tc>
          <w:tcPr/>
          <w:p>
            <w:pPr>
              <w:pStyle w:val="Compact"/>
              <w:jc w:val="right"/>
            </w:pPr>
            <w:r>
              <w:t xml:space="preserve">Yum ex-Pizza Hut</w:t>
            </w:r>
          </w:p>
        </w:tc>
      </w:tr>
      <w:tr>
        <w:tc>
          <w:tcPr/>
          <w:p>
            <w:pPr>
              <w:pStyle w:val="Compact"/>
            </w:pPr>
            <w:r>
              <w:t xml:space="preserve">System-sales growth, ex-FX</w:t>
            </w:r>
          </w:p>
        </w:tc>
        <w:tc>
          <w:tcPr/>
          <w:p>
            <w:pPr>
              <w:pStyle w:val="Compact"/>
              <w:jc w:val="right"/>
            </w:pPr>
            <w:r>
              <w:t xml:space="preserve">Flat</w:t>
            </w:r>
          </w:p>
        </w:tc>
        <w:tc>
          <w:tcPr/>
          <w:p>
            <w:pPr>
              <w:pStyle w:val="Compact"/>
              <w:jc w:val="right"/>
            </w:pPr>
            <w:r>
              <w:rPr>
                <w:b/>
                <w:bCs/>
              </w:rPr>
              <w:t xml:space="preserve">+7%</w:t>
            </w:r>
          </w:p>
        </w:tc>
      </w:tr>
      <w:tr>
        <w:tc>
          <w:tcPr/>
          <w:p>
            <w:pPr>
              <w:pStyle w:val="Compact"/>
            </w:pPr>
            <w:r>
              <w:t xml:space="preserve">Unit growth</w:t>
            </w:r>
          </w:p>
        </w:tc>
        <w:tc>
          <w:tcPr/>
          <w:p>
            <w:pPr>
              <w:pStyle w:val="Compact"/>
              <w:jc w:val="right"/>
            </w:pPr>
            <w:r>
              <w:t xml:space="preserve">+1%</w:t>
            </w:r>
          </w:p>
        </w:tc>
        <w:tc>
          <w:tcPr/>
          <w:p>
            <w:pPr>
              <w:pStyle w:val="Compact"/>
              <w:jc w:val="right"/>
            </w:pPr>
            <w:r>
              <w:rPr>
                <w:b/>
                <w:bCs/>
              </w:rPr>
              <w:t xml:space="preserve">+6%</w:t>
            </w:r>
          </w:p>
        </w:tc>
      </w:tr>
      <w:tr>
        <w:tc>
          <w:tcPr/>
          <w:p>
            <w:pPr>
              <w:pStyle w:val="Compact"/>
            </w:pPr>
            <w:r>
              <w:t xml:space="preserve">Core operating-profit growth</w:t>
            </w:r>
          </w:p>
        </w:tc>
        <w:tc>
          <w:tcPr/>
          <w:p>
            <w:pPr>
              <w:pStyle w:val="Compact"/>
              <w:jc w:val="right"/>
            </w:pPr>
            <w:r>
              <w:t xml:space="preserve">Down materially</w:t>
            </w:r>
          </w:p>
        </w:tc>
        <w:tc>
          <w:tcPr/>
          <w:p>
            <w:pPr>
              <w:pStyle w:val="Compact"/>
              <w:jc w:val="right"/>
            </w:pPr>
            <w:r>
              <w:rPr>
                <w:b/>
                <w:bCs/>
              </w:rPr>
              <w:t xml:space="preserve">+10%</w:t>
            </w:r>
          </w:p>
        </w:tc>
      </w:tr>
    </w:tbl>
    <w:p>
      <w:pPr>
        <w:pStyle w:val="BodyText"/>
      </w:pPr>
      <w:r>
        <w:t xml:space="preserve">The sale makes Yum a more concentrated KFC/Taco Bell/Habit business. Strategically, that should improve the growth profile and eliminate a challenged segment. Financially, however, investors need a much cleaner bridge covering:</w:t>
      </w:r>
    </w:p>
    <w:p>
      <w:pPr>
        <w:pStyle w:val="Compact"/>
        <w:numPr>
          <w:ilvl w:val="0"/>
          <w:numId w:val="1007"/>
        </w:numPr>
      </w:pPr>
      <w:r>
        <w:rPr>
          <w:b/>
          <w:bCs/>
        </w:rPr>
        <w:t xml:space="preserve">Post-close earnings power:</w:t>
      </w:r>
      <w:r>
        <w:t xml:space="preserve"> </w:t>
      </w:r>
      <w:r>
        <w:t xml:space="preserve">What revenue, operating profit, G&amp;A and interest expense leave with Pizza Hut?</w:t>
      </w:r>
    </w:p>
    <w:p>
      <w:pPr>
        <w:pStyle w:val="Compact"/>
        <w:numPr>
          <w:ilvl w:val="0"/>
          <w:numId w:val="1007"/>
        </w:numPr>
      </w:pPr>
      <w:r>
        <w:rPr>
          <w:b/>
          <w:bCs/>
        </w:rPr>
        <w:t xml:space="preserve">Transition-services economics:</w:t>
      </w:r>
      <w:r>
        <w:t xml:space="preserve"> </w:t>
      </w:r>
      <w:r>
        <w:t xml:space="preserve">Yum expects 2026 service fees to offset corporate G&amp;A historically allocated to Pizza Hut. How long does that support last?</w:t>
      </w:r>
    </w:p>
    <w:p>
      <w:pPr>
        <w:pStyle w:val="Compact"/>
        <w:numPr>
          <w:ilvl w:val="0"/>
          <w:numId w:val="1007"/>
        </w:numPr>
      </w:pPr>
      <w:r>
        <w:rPr>
          <w:b/>
          <w:bCs/>
        </w:rPr>
        <w:t xml:space="preserve">Separation costs and timing:</w:t>
      </w:r>
      <w:r>
        <w:t xml:space="preserve"> </w:t>
      </w:r>
      <w:r>
        <w:t xml:space="preserve">How much lands in 2Q, 3Q and 4Q?</w:t>
      </w:r>
    </w:p>
    <w:p>
      <w:pPr>
        <w:pStyle w:val="Compact"/>
        <w:numPr>
          <w:ilvl w:val="0"/>
          <w:numId w:val="1007"/>
        </w:numPr>
      </w:pPr>
      <w:r>
        <w:rPr>
          <w:b/>
          <w:bCs/>
        </w:rPr>
        <w:t xml:space="preserve">Capital deployment:</w:t>
      </w:r>
      <w:r>
        <w:t xml:space="preserve"> </w:t>
      </w:r>
      <w:r>
        <w:t xml:space="preserve">How much of net proceeds is earmarked for buybacks, debt reduction, or reinvestment?</w:t>
      </w:r>
    </w:p>
    <w:p>
      <w:pPr>
        <w:pStyle w:val="Compact"/>
        <w:numPr>
          <w:ilvl w:val="0"/>
          <w:numId w:val="1007"/>
        </w:numPr>
      </w:pPr>
      <w:r>
        <w:rPr>
          <w:b/>
          <w:bCs/>
        </w:rPr>
        <w:t xml:space="preserve">Leverage:</w:t>
      </w:r>
      <w:r>
        <w:t xml:space="preserve"> </w:t>
      </w:r>
      <w:r>
        <w:t xml:space="preserve">Yum exited 1Q at approximately</w:t>
      </w:r>
      <w:r>
        <w:t xml:space="preserve"> </w:t>
      </w:r>
      <w:r>
        <w:rPr>
          <w:b/>
          <w:bCs/>
        </w:rPr>
        <w:t xml:space="preserve">3.8x net leverage</w:t>
      </w:r>
      <w:r>
        <w:t xml:space="preserve">, against its stated 4.0x expectation.</w:t>
      </w:r>
    </w:p>
    <w:p>
      <w:pPr>
        <w:pStyle w:val="FirstParagraph"/>
      </w:pPr>
      <w:r>
        <w:t xml:space="preserve">A constructive outcome would be a transparent pro forma framework that demonstrates the sale is accretive to growth quality, capital returns, and the ability to sustain Yum’s long-term algorithm.</w:t>
      </w:r>
    </w:p>
    <w:p>
      <w:r>
        <w:pict>
          <v:rect style="width:0;height:1.5pt" o:hralign="center" o:hrstd="t" o:hr="t"/>
        </w:pict>
      </w:r>
    </w:p>
    <w:bookmarkEnd w:id="17"/>
    <w:bookmarkEnd w:id="18"/>
    <w:bookmarkStart w:id="20" w:name="guidance-where-the-real-debate-lies"/>
    <w:p>
      <w:pPr>
        <w:pStyle w:val="Heading2"/>
      </w:pPr>
      <w:r>
        <w:t xml:space="preserve">Guidance: where the real debate lies</w:t>
      </w:r>
    </w:p>
    <w:p>
      <w:pPr>
        <w:pStyle w:val="FirstParagraph"/>
      </w:pPr>
      <w:r>
        <w:t xml:space="preserve">Before the Pizza Hut sale announcement, Yum said it remained confident it could meet or exceed its long-term algorithm</w:t>
      </w:r>
      <w:r>
        <w:t xml:space="preserve"> </w:t>
      </w:r>
      <w:r>
        <w:rPr>
          <w:b/>
          <w:bCs/>
        </w:rPr>
        <w:t xml:space="preserve">excluding Pizza Hut</w:t>
      </w:r>
      <w:r>
        <w:t xml:space="preserve">:</w:t>
      </w:r>
    </w:p>
    <w:p>
      <w:pPr>
        <w:pStyle w:val="Compact"/>
        <w:numPr>
          <w:ilvl w:val="0"/>
          <w:numId w:val="1008"/>
        </w:numPr>
      </w:pPr>
      <w:r>
        <w:rPr>
          <w:b/>
          <w:bCs/>
        </w:rPr>
        <w:t xml:space="preserve">5% unit growth</w:t>
      </w:r>
    </w:p>
    <w:p>
      <w:pPr>
        <w:pStyle w:val="Compact"/>
        <w:numPr>
          <w:ilvl w:val="0"/>
          <w:numId w:val="1008"/>
        </w:numPr>
      </w:pPr>
      <w:r>
        <w:rPr>
          <w:b/>
          <w:bCs/>
        </w:rPr>
        <w:t xml:space="preserve">7% system-sales growth, ex-FX</w:t>
      </w:r>
    </w:p>
    <w:p>
      <w:pPr>
        <w:pStyle w:val="Compact"/>
        <w:numPr>
          <w:ilvl w:val="0"/>
          <w:numId w:val="1008"/>
        </w:numPr>
      </w:pPr>
      <w:r>
        <w:rPr>
          <w:b/>
          <w:bCs/>
        </w:rPr>
        <w:t xml:space="preserve">At least 8% core operating-profit growth</w:t>
      </w:r>
    </w:p>
    <w:p>
      <w:pPr>
        <w:pStyle w:val="FirstParagraph"/>
      </w:pPr>
      <w:r>
        <w:t xml:space="preserve">The 2Q call must reconcile this underlying confidence with three new variables:</w:t>
      </w:r>
    </w:p>
    <w:p>
      <w:pPr>
        <w:pStyle w:val="Compact"/>
        <w:numPr>
          <w:ilvl w:val="0"/>
          <w:numId w:val="1009"/>
        </w:numPr>
      </w:pPr>
      <w:r>
        <w:t xml:space="preserve">Taco Bell’s July outbreak-related disruption;</w:t>
      </w:r>
    </w:p>
    <w:p>
      <w:pPr>
        <w:pStyle w:val="Compact"/>
        <w:numPr>
          <w:ilvl w:val="0"/>
          <w:numId w:val="1009"/>
        </w:numPr>
      </w:pPr>
      <w:r>
        <w:t xml:space="preserve">the timing and costs of Pizza Hut separation;</w:t>
      </w:r>
    </w:p>
    <w:p>
      <w:pPr>
        <w:pStyle w:val="Compact"/>
        <w:numPr>
          <w:ilvl w:val="0"/>
          <w:numId w:val="1009"/>
        </w:numPr>
      </w:pPr>
      <w:r>
        <w:t xml:space="preserve">the deployment of transaction proceeds and expanded repurchase authorization.</w:t>
      </w:r>
    </w:p>
    <w:bookmarkStart w:id="19" w:name="key-guidance-items-to-monitor"/>
    <w:p>
      <w:pPr>
        <w:pStyle w:val="Heading3"/>
      </w:pPr>
      <w:r>
        <w:t xml:space="preserve">Key guidance items to monitor</w:t>
      </w:r>
    </w:p>
    <w:p>
      <w:pPr>
        <w:pStyle w:val="Compact"/>
        <w:numPr>
          <w:ilvl w:val="0"/>
          <w:numId w:val="1010"/>
        </w:numPr>
      </w:pPr>
      <w:r>
        <w:t xml:space="preserve">Does Yum</w:t>
      </w:r>
      <w:r>
        <w:t xml:space="preserve"> </w:t>
      </w:r>
      <w:r>
        <w:rPr>
          <w:b/>
          <w:bCs/>
        </w:rPr>
        <w:t xml:space="preserve">maintain, reduce, suspend, or recast</w:t>
      </w:r>
      <w:r>
        <w:t xml:space="preserve"> </w:t>
      </w:r>
      <w:r>
        <w:t xml:space="preserve">its full-year outlook?</w:t>
      </w:r>
    </w:p>
    <w:p>
      <w:pPr>
        <w:pStyle w:val="Compact"/>
        <w:numPr>
          <w:ilvl w:val="0"/>
          <w:numId w:val="1010"/>
        </w:numPr>
      </w:pPr>
      <w:r>
        <w:t xml:space="preserve">Is the prior</w:t>
      </w:r>
      <w:r>
        <w:t xml:space="preserve"> </w:t>
      </w:r>
      <w:r>
        <w:rPr>
          <w:b/>
          <w:bCs/>
        </w:rPr>
        <w:t xml:space="preserve">24.5%–25.5% Taco Bell U.S. margin outlook</w:t>
      </w:r>
      <w:r>
        <w:t xml:space="preserve"> </w:t>
      </w:r>
      <w:r>
        <w:t xml:space="preserve">still realistic?</w:t>
      </w:r>
    </w:p>
    <w:p>
      <w:pPr>
        <w:pStyle w:val="Compact"/>
        <w:numPr>
          <w:ilvl w:val="0"/>
          <w:numId w:val="1010"/>
        </w:numPr>
      </w:pPr>
      <w:r>
        <w:t xml:space="preserve">Does management quantify the July Taco Bell traffic effect and its expected duration?</w:t>
      </w:r>
    </w:p>
    <w:p>
      <w:pPr>
        <w:pStyle w:val="Compact"/>
        <w:numPr>
          <w:ilvl w:val="0"/>
          <w:numId w:val="1010"/>
        </w:numPr>
      </w:pPr>
      <w:r>
        <w:t xml:space="preserve">Is the</w:t>
      </w:r>
      <w:r>
        <w:t xml:space="preserve"> </w:t>
      </w:r>
      <m:oMath>
        <m:r>
          <m:t>510</m:t>
        </m:r>
        <m:r>
          <m:t>m</m:t>
        </m:r>
        <m:r>
          <m:t>i</m:t>
        </m:r>
        <m:r>
          <m:t>l</m:t>
        </m:r>
        <m:r>
          <m:t>l</m:t>
        </m:r>
        <m:r>
          <m:t>i</m:t>
        </m:r>
        <m:r>
          <m:t>o</m:t>
        </m:r>
        <m:r>
          <m:t>n</m:t>
        </m:r>
        <m:r>
          <m:rPr>
            <m:sty m:val="p"/>
          </m:rPr>
          <m:t>–</m:t>
        </m:r>
      </m:oMath>
      <w:r>
        <w:rPr>
          <w:b/>
          <w:bCs/>
        </w:rPr>
        <w:t xml:space="preserve">520 million</w:t>
      </w:r>
      <w:r>
        <w:t xml:space="preserve"> </w:t>
      </w:r>
      <w:r>
        <w:t xml:space="preserve">full-year interest-expense outlook still appropriate?</w:t>
      </w:r>
    </w:p>
    <w:p>
      <w:pPr>
        <w:pStyle w:val="Compact"/>
        <w:numPr>
          <w:ilvl w:val="0"/>
          <w:numId w:val="1010"/>
        </w:numPr>
      </w:pPr>
      <w:r>
        <w:t xml:space="preserve">Does the company offer a</w:t>
      </w:r>
      <w:r>
        <w:t xml:space="preserve"> </w:t>
      </w:r>
      <w:r>
        <w:rPr>
          <w:b/>
          <w:bCs/>
        </w:rPr>
        <w:t xml:space="preserve">post-Pizza Hut pro forma growth framework</w:t>
      </w:r>
      <w:r>
        <w:t xml:space="preserve">?</w:t>
      </w:r>
    </w:p>
    <w:p>
      <w:pPr>
        <w:pStyle w:val="Compact"/>
        <w:numPr>
          <w:ilvl w:val="0"/>
          <w:numId w:val="1010"/>
        </w:numPr>
      </w:pPr>
      <w:r>
        <w:t xml:space="preserve">Are separation costs still expected near</w:t>
      </w:r>
      <w:r>
        <w:t xml:space="preserve"> </w:t>
      </w:r>
      <w:r>
        <w:rPr>
          <w:b/>
          <w:bCs/>
        </w:rPr>
        <w:t xml:space="preserve">$85 million</w:t>
      </w:r>
      <w:r>
        <w:t xml:space="preserve">, or have they changed?</w:t>
      </w:r>
    </w:p>
    <w:p>
      <w:r>
        <w:pict>
          <v:rect style="width:0;height:1.5pt" o:hralign="center" o:hrstd="t" o:hr="t"/>
        </w:pict>
      </w:r>
    </w:p>
    <w:bookmarkEnd w:id="19"/>
    <w:bookmarkEnd w:id="20"/>
    <w:bookmarkStart w:id="21" w:name="bull-case-into-the-print"/>
    <w:p>
      <w:pPr>
        <w:pStyle w:val="Heading2"/>
      </w:pPr>
      <w:r>
        <w:t xml:space="preserve">Bull case into the print</w:t>
      </w:r>
    </w:p>
    <w:p>
      <w:pPr>
        <w:pStyle w:val="FirstParagraph"/>
      </w:pPr>
      <w:r>
        <w:t xml:space="preserve">A favorable earnings outcome would look like this:</w:t>
      </w:r>
    </w:p>
    <w:p>
      <w:pPr>
        <w:pStyle w:val="Compact"/>
        <w:numPr>
          <w:ilvl w:val="0"/>
          <w:numId w:val="1011"/>
        </w:numPr>
      </w:pPr>
      <w:r>
        <w:t xml:space="preserve">Taco Bell produces a Q2 comp at or above the ~6% expectation.</w:t>
      </w:r>
    </w:p>
    <w:p>
      <w:pPr>
        <w:pStyle w:val="Compact"/>
        <w:numPr>
          <w:ilvl w:val="0"/>
          <w:numId w:val="1011"/>
        </w:numPr>
      </w:pPr>
      <w:r>
        <w:t xml:space="preserve">KFC maintains low-single-digit or better global comparable-sales growth and strong unit development.</w:t>
      </w:r>
    </w:p>
    <w:p>
      <w:pPr>
        <w:pStyle w:val="Compact"/>
        <w:numPr>
          <w:ilvl w:val="0"/>
          <w:numId w:val="1011"/>
        </w:numPr>
      </w:pPr>
      <w:r>
        <w:t xml:space="preserve">Yum confirms Taco Bell’s July traffic impact is concentrated, manageable, and already improving.</w:t>
      </w:r>
    </w:p>
    <w:p>
      <w:pPr>
        <w:pStyle w:val="Compact"/>
        <w:numPr>
          <w:ilvl w:val="0"/>
          <w:numId w:val="1011"/>
        </w:numPr>
      </w:pPr>
      <w:r>
        <w:t xml:space="preserve">The company preserves full-year Taco Bell margin and ex-Pizza Hut growth targets, or describes only a modest and temporary effect.</w:t>
      </w:r>
    </w:p>
    <w:p>
      <w:pPr>
        <w:pStyle w:val="Compact"/>
        <w:numPr>
          <w:ilvl w:val="0"/>
          <w:numId w:val="1011"/>
        </w:numPr>
      </w:pPr>
      <w:r>
        <w:t xml:space="preserve">Management provides a credible post-transaction earnings and capital-return bridge.</w:t>
      </w:r>
    </w:p>
    <w:p>
      <w:pPr>
        <w:pStyle w:val="Compact"/>
        <w:numPr>
          <w:ilvl w:val="0"/>
          <w:numId w:val="1011"/>
        </w:numPr>
      </w:pPr>
      <w:r>
        <w:t xml:space="preserve">Buybacks accelerate after the Pizza Hut proceeds are received.</w:t>
      </w:r>
    </w:p>
    <w:p>
      <w:pPr>
        <w:pStyle w:val="FirstParagraph"/>
      </w:pPr>
      <w:r>
        <w:t xml:space="preserve">In that scenario, the current stock weakness could be viewed as an opportunity to own a simplified, asset-light KFC/Taco Bell platform with substantial repurchase capacity.</w:t>
      </w:r>
    </w:p>
    <w:p>
      <w:r>
        <w:pict>
          <v:rect style="width:0;height:1.5pt" o:hralign="center" o:hrstd="t" o:hr="t"/>
        </w:pict>
      </w:r>
    </w:p>
    <w:bookmarkEnd w:id="21"/>
    <w:bookmarkStart w:id="22" w:name="bear-case-into-the-print"/>
    <w:p>
      <w:pPr>
        <w:pStyle w:val="Heading2"/>
      </w:pPr>
      <w:r>
        <w:t xml:space="preserve">Bear case into the print</w:t>
      </w:r>
    </w:p>
    <w:p>
      <w:pPr>
        <w:pStyle w:val="FirstParagraph"/>
      </w:pPr>
      <w:r>
        <w:t xml:space="preserve">The downside scenario is less about Q2 EPS and more about forward earnings:</w:t>
      </w:r>
    </w:p>
    <w:p>
      <w:pPr>
        <w:pStyle w:val="Compact"/>
        <w:numPr>
          <w:ilvl w:val="0"/>
          <w:numId w:val="1012"/>
        </w:numPr>
      </w:pPr>
      <w:r>
        <w:t xml:space="preserve">Taco Bell’s July traffic decline is severe, broad-based, or not yet stabilizing.</w:t>
      </w:r>
    </w:p>
    <w:p>
      <w:pPr>
        <w:pStyle w:val="Compact"/>
        <w:numPr>
          <w:ilvl w:val="0"/>
          <w:numId w:val="1012"/>
        </w:numPr>
      </w:pPr>
      <w:r>
        <w:t xml:space="preserve">Management cannot quantify the impact, declines to offer a recovery timeline, or signals elevated promotional and food-safety costs.</w:t>
      </w:r>
    </w:p>
    <w:p>
      <w:pPr>
        <w:pStyle w:val="Compact"/>
        <w:numPr>
          <w:ilvl w:val="0"/>
          <w:numId w:val="1012"/>
        </w:numPr>
      </w:pPr>
      <w:r>
        <w:t xml:space="preserve">Taco Bell’s margin outlook is reduced because recovery requires heavier discounting.</w:t>
      </w:r>
    </w:p>
    <w:p>
      <w:pPr>
        <w:pStyle w:val="Compact"/>
        <w:numPr>
          <w:ilvl w:val="0"/>
          <w:numId w:val="1012"/>
        </w:numPr>
      </w:pPr>
      <w:r>
        <w:t xml:space="preserve">KFC results are softer in China or major international markets.</w:t>
      </w:r>
    </w:p>
    <w:p>
      <w:pPr>
        <w:pStyle w:val="Compact"/>
        <w:numPr>
          <w:ilvl w:val="0"/>
          <w:numId w:val="1012"/>
        </w:numPr>
      </w:pPr>
      <w:r>
        <w:t xml:space="preserve">Pizza Hut separation expenses, lost earnings, or stranded corporate costs make the deal’s near-term economics less attractive than investors expect.</w:t>
      </w:r>
    </w:p>
    <w:p>
      <w:pPr>
        <w:pStyle w:val="Compact"/>
        <w:numPr>
          <w:ilvl w:val="0"/>
          <w:numId w:val="1012"/>
        </w:numPr>
      </w:pPr>
      <w:r>
        <w:t xml:space="preserve">Yum’s post-sale guidance is vague, making it harder for investors to model the remaining company.</w:t>
      </w:r>
    </w:p>
    <w:p>
      <w:r>
        <w:pict>
          <v:rect style="width:0;height:1.5pt" o:hralign="center" o:hrstd="t" o:hr="t"/>
        </w:pict>
      </w:r>
    </w:p>
    <w:bookmarkEnd w:id="22"/>
    <w:bookmarkStart w:id="23" w:name="questions-that-matter-most-on-the-call"/>
    <w:p>
      <w:pPr>
        <w:pStyle w:val="Heading2"/>
      </w:pPr>
      <w:r>
        <w:t xml:space="preserve">Questions that matter most on the call</w:t>
      </w:r>
    </w:p>
    <w:p>
      <w:pPr>
        <w:pStyle w:val="Compact"/>
        <w:numPr>
          <w:ilvl w:val="0"/>
          <w:numId w:val="1013"/>
        </w:numPr>
      </w:pPr>
      <w:r>
        <w:rPr>
          <w:b/>
          <w:bCs/>
        </w:rPr>
        <w:t xml:space="preserve">What has Taco Bell seen in July traffic by week, and what does the most recent trend look like?</w:t>
      </w:r>
    </w:p>
    <w:p>
      <w:pPr>
        <w:pStyle w:val="Compact"/>
        <w:numPr>
          <w:ilvl w:val="0"/>
          <w:numId w:val="1013"/>
        </w:numPr>
      </w:pPr>
      <w:r>
        <w:rPr>
          <w:b/>
          <w:bCs/>
        </w:rPr>
        <w:t xml:space="preserve">How much of the issue is attributable to affected restaurants, geography, specific menu items, or broader consumer perception?</w:t>
      </w:r>
    </w:p>
    <w:p>
      <w:pPr>
        <w:pStyle w:val="Compact"/>
        <w:numPr>
          <w:ilvl w:val="0"/>
          <w:numId w:val="1013"/>
        </w:numPr>
      </w:pPr>
      <w:r>
        <w:rPr>
          <w:b/>
          <w:bCs/>
        </w:rPr>
        <w:t xml:space="preserve">Are Taco Bell franchisees absorbing material sales or margin pressure, and is Yum providing support?</w:t>
      </w:r>
    </w:p>
    <w:p>
      <w:pPr>
        <w:pStyle w:val="Compact"/>
        <w:numPr>
          <w:ilvl w:val="0"/>
          <w:numId w:val="1013"/>
        </w:numPr>
      </w:pPr>
      <w:r>
        <w:rPr>
          <w:b/>
          <w:bCs/>
        </w:rPr>
        <w:t xml:space="preserve">Does the company still stand behind the 2026 Taco Bell U.S. margin outlook?</w:t>
      </w:r>
    </w:p>
    <w:p>
      <w:pPr>
        <w:pStyle w:val="Compact"/>
        <w:numPr>
          <w:ilvl w:val="0"/>
          <w:numId w:val="1013"/>
        </w:numPr>
      </w:pPr>
      <w:r>
        <w:rPr>
          <w:b/>
          <w:bCs/>
        </w:rPr>
        <w:t xml:space="preserve">What are the updated 2026 EPS, operating-profit, interest-expense, and G&amp;A implications of the Pizza Hut sale?</w:t>
      </w:r>
    </w:p>
    <w:p>
      <w:pPr>
        <w:pStyle w:val="Compact"/>
        <w:numPr>
          <w:ilvl w:val="0"/>
          <w:numId w:val="1013"/>
        </w:numPr>
      </w:pPr>
      <w:r>
        <w:rPr>
          <w:b/>
          <w:bCs/>
        </w:rPr>
        <w:t xml:space="preserve">How should investors model Yum after Pizza Hut closes in 3Q?</w:t>
      </w:r>
    </w:p>
    <w:p>
      <w:pPr>
        <w:pStyle w:val="Compact"/>
        <w:numPr>
          <w:ilvl w:val="0"/>
          <w:numId w:val="1013"/>
        </w:numPr>
      </w:pPr>
      <w:r>
        <w:rPr>
          <w:b/>
          <w:bCs/>
        </w:rPr>
        <w:t xml:space="preserve">What portion of the expected $2.3 billion net transaction proceeds is likely to go toward repurchases versus debt reduction?</w:t>
      </w:r>
    </w:p>
    <w:p>
      <w:pPr>
        <w:pStyle w:val="Compact"/>
        <w:numPr>
          <w:ilvl w:val="0"/>
          <w:numId w:val="1013"/>
        </w:numPr>
      </w:pPr>
      <w:r>
        <w:rPr>
          <w:b/>
          <w:bCs/>
        </w:rPr>
        <w:t xml:space="preserve">Can KFC sustain its unit-development pace amid geopolitical, equipment-sourcing, and franchisee-return considerations?</w:t>
      </w:r>
    </w:p>
    <w:p>
      <w:pPr>
        <w:pStyle w:val="Compact"/>
        <w:numPr>
          <w:ilvl w:val="0"/>
          <w:numId w:val="1013"/>
        </w:numPr>
      </w:pPr>
      <w:r>
        <w:rPr>
          <w:b/>
          <w:bCs/>
        </w:rPr>
        <w:t xml:space="preserve">What proof points demonstrate Byte and AI are producing measurable revenue or cost benefits?</w:t>
      </w:r>
    </w:p>
    <w:p>
      <w:r>
        <w:pict>
          <v:rect style="width:0;height:1.5pt" o:hralign="center" o:hrstd="t" o:hr="t"/>
        </w:pict>
      </w:r>
    </w:p>
    <w:bookmarkEnd w:id="23"/>
    <w:bookmarkStart w:id="24" w:name="investment-view-going-into-earnings"/>
    <w:p>
      <w:pPr>
        <w:pStyle w:val="Heading2"/>
      </w:pPr>
      <w:r>
        <w:t xml:space="preserve">Investment view going into earnings</w:t>
      </w:r>
    </w:p>
    <w:p>
      <w:pPr>
        <w:pStyle w:val="FirstParagraph"/>
      </w:pPr>
      <w:r>
        <w:t xml:space="preserve">This is a</w:t>
      </w:r>
      <w:r>
        <w:t xml:space="preserve"> </w:t>
      </w:r>
      <w:r>
        <w:rPr>
          <w:b/>
          <w:bCs/>
        </w:rPr>
        <w:t xml:space="preserve">high-information-content print</w:t>
      </w:r>
      <w:r>
        <w:t xml:space="preserve">. The reported Q2 numbers should validate that Yum’s core business was healthy entering the summer. But the stock’s next move is likely to be driven by management’s ability to defend the Taco Bell recovery narrative and articulate the economics of the Pizza Hut exit.</w:t>
      </w:r>
    </w:p>
    <w:p>
      <w:pPr>
        <w:pStyle w:val="BodyText"/>
      </w:pPr>
      <w:r>
        <w:t xml:space="preserve">The central trade-off is clear:</w:t>
      </w:r>
    </w:p>
    <w:p>
      <w:pPr>
        <w:pStyle w:val="Compact"/>
        <w:numPr>
          <w:ilvl w:val="0"/>
          <w:numId w:val="1014"/>
        </w:numPr>
      </w:pPr>
      <w:r>
        <w:rPr>
          <w:b/>
          <w:bCs/>
        </w:rPr>
        <w:t xml:space="preserve">Positive:</w:t>
      </w:r>
      <w:r>
        <w:t xml:space="preserve"> </w:t>
      </w:r>
      <w:r>
        <w:t xml:space="preserve">A cleaner KFC/Taco Bell-focused portfolio, strong global development, leading digital capabilities, and potentially substantial buybacks.</w:t>
      </w:r>
    </w:p>
    <w:p>
      <w:pPr>
        <w:pStyle w:val="Compact"/>
        <w:numPr>
          <w:ilvl w:val="0"/>
          <w:numId w:val="1014"/>
        </w:numPr>
      </w:pPr>
      <w:r>
        <w:rPr>
          <w:b/>
          <w:bCs/>
        </w:rPr>
        <w:t xml:space="preserve">Risk:</w:t>
      </w:r>
      <w:r>
        <w:t xml:space="preserve"> </w:t>
      </w:r>
      <w:r>
        <w:t xml:space="preserve">Taco Bell’s food-safety issue arrives precisely as the company is asking investors to value the remaining portfolio more highly after shedding Pizza Hut.</w:t>
      </w:r>
    </w:p>
    <w:p>
      <w:pPr>
        <w:pStyle w:val="FirstParagraph"/>
      </w:pPr>
      <w:r>
        <w:t xml:space="preserve">For investors, the most important metric may not be reported EPS. It will be the credibility and specificity of management’s answer to a simple question:</w:t>
      </w:r>
      <w:r>
        <w:t xml:space="preserve"> </w:t>
      </w:r>
      <w:r>
        <w:rPr>
          <w:b/>
          <w:bCs/>
        </w:rPr>
        <w:t xml:space="preserve">Is Taco Bell’s July disruption a short-lived operational incident, or a reset to the brand’s growth and margin trajectory?</w:t>
      </w:r>
    </w:p>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 w:numId="1009">
    <w:abstractNumId w:val="991"/>
  </w:num>
  <w:num w:numId="1010">
    <w:abstractNumId w:val="991"/>
  </w:num>
  <w:num w:numId="1011">
    <w:abstractNumId w:val="991"/>
  </w:num>
  <w:num w:numId="1012">
    <w:abstractNumId w:val="991"/>
  </w:num>
  <w:num w:numId="1013">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2026-07-29T17:56:44Z</dcterms:created>
  <dcterms:modified xsi:type="dcterms:W3CDTF">2026-07-29T17:56:44Z</dcterms:modified>
</cp:coreProperties>
</file>

<file path=docProps/custom.xml><?xml version="1.0" encoding="utf-8"?>
<Properties xmlns="http://schemas.openxmlformats.org/officeDocument/2006/custom-properties" xmlns:vt="http://schemas.openxmlformats.org/officeDocument/2006/docPropsVTypes"/>
</file>