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yum-earnings-predictions--2026-07-30"/>
    <w:p>
      <w:pPr>
        <w:pStyle w:val="Heading1"/>
      </w:pPr>
      <w:r>
        <w:t xml:space="preserve">YUM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Taco Bell SSS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~+7.5% vs. cons +6.54%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Diluted Operating EPS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~$1.62 vs. cons $1.561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KFC SSS (Q2 2026)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~+2.0% vs. cons +2.02%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Taco Bell SSS (Q3 2026)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~+3-4% vs. cons ~+6.5%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 2026 Operating EPS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~$6.50-6.60 vs. cons $6.70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Taco Bell U.S. Restaurant Margin (FY 2026)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maintained 24.5-25.5% vs. cons ~24.8%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-2.5% (FADE)</w:t>
            </w:r>
          </w:p>
        </w:tc>
        <w:tc>
          <w:tcPr/>
          <w:p>
            <w:pPr>
              <w:pStyle w:val="Compact"/>
            </w:pPr>
            <w:r>
              <w:t xml:space="preserve">FADE - sell-side cuts Q3/Q4 estimates post-guide; initial relief on Q2 beat reverses as forward math deteriorates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2026-08-01T02:02:32Z</dcterms:created>
  <dcterms:modified xsi:type="dcterms:W3CDTF">2026-08-01T02:02:32Z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