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Yum! Brands (YUM) — Q2 2026 Earnings Preview</w:t>
      </w:r>
    </w:p>
    <w:p>
      <w:r>
        <w:rPr>
          <w:rFonts w:ascii="Calibri" w:hAnsi="Calibri"/>
          <w:color w:val="525866"/>
          <w:sz w:val="22"/>
        </w:rPr>
        <w:t>Prepared: July 29, 2026  |  Reporting Period: Q2 2026 (ending June 30, 2026)  |  Expected Earnings Date: Late July / Early August 2026  |  Sector ETF Used: QSR (Restaurant Brands International — closest liquid QSR peer proxy)</w:t>
      </w:r>
    </w:p>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 xml:space="preserve">Setup skews to beat — Taco Bell's sustained same-store sales momentum and raised margin guidance provide a high-confidence floor, while the Pizza Hut divestiture announcement removes a persistent overhang and unlocks capital return; the biggest swing factor is whether </w:t>
      </w:r>
      <w:r>
        <w:rPr>
          <w:rFonts w:ascii="Calibri" w:hAnsi="Calibri"/>
          <w:b/>
          <w:color w:val="525866"/>
          <w:sz w:val="22"/>
        </w:rPr>
        <w:t>Taco Bell U.S. SSS can sustain above-consensus levels</w:t>
      </w:r>
      <w:r>
        <w:rPr>
          <w:rFonts w:ascii="Calibri" w:hAnsi="Calibri"/>
          <w:color w:val="525866"/>
          <w:sz w:val="22"/>
        </w:rPr>
        <w:t xml:space="preserve"> in a softening QSR macro environment.</w:t>
      </w:r>
    </w:p>
    <w:p>
      <w:r>
        <w:rPr>
          <w:rFonts w:ascii="Calibri" w:hAnsi="Calibri"/>
          <w:color w:val="525866"/>
          <w:sz w:val="22"/>
        </w:rPr>
        <w:t xml:space="preserve">Heading into Q2 2026, the bar for YUM is manageable but not low: consensus sits at ~6.5% Taco Bell SSS and ~$1.56 operating EPS, both of which management's own raised guidance and tone suggest are achievable. </w:t>
      </w:r>
      <w:r>
        <w:rPr>
          <w:rFonts w:ascii="Calibri" w:hAnsi="Calibri"/>
          <w:b/>
          <w:color w:val="525866"/>
          <w:sz w:val="22"/>
        </w:rPr>
        <w:t>Management exited Q1 with notably elevated confidence</w:t>
      </w:r>
      <w:r>
        <w:rPr>
          <w:rFonts w:ascii="Calibri" w:hAnsi="Calibri"/>
          <w:color w:val="525866"/>
          <w:sz w:val="22"/>
        </w:rPr>
        <w:t xml:space="preserve"> — explicitly stating "more confidence than we had even earlier in this year" on Taco Bell momentum — and raised Taco Bell U.S. restaurant-level margin guidance to 24.5%–25.5%, signaling the top-line strength is flowing through to profitability. Estimate revisions since the April 29 print have been modestly positive on EPS (from $1.38 to $1.56) and slightly lower on revenue, consistent with the Pizza Hut divestiture noise, but the ex-Pizza Hut core is tracking well. The stock has underperformed QSR peers since earnings (indexed ~95 vs. ~96 for QSR), suggesting the market has not yet fully priced in the portfolio simplification benefit, which creates a favorable asymmetry if Q2 results confirm Taco Bell's trajectory. The key wildcard is the </w:t>
      </w:r>
      <w:r>
        <w:rPr>
          <w:rFonts w:ascii="Calibri" w:hAnsi="Calibri"/>
          <w:b/>
          <w:color w:val="525866"/>
          <w:sz w:val="22"/>
        </w:rPr>
        <w:t>broader QSR consumer softness</w:t>
      </w:r>
      <w:r>
        <w:rPr>
          <w:rFonts w:ascii="Calibri" w:hAnsi="Calibri"/>
          <w:color w:val="525866"/>
          <w:sz w:val="22"/>
        </w:rPr>
        <w:t xml:space="preserve"> flagged by peers (DPZ noted flat QSR order counts in Q2; CMG cited a 200bps Cyclospora headwind in late July) — if macro pressure intensified through June, Taco Bell's 8% Q1 SSS run-rate may have moderated more than consensus assumes.</w:t>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is a moderate bar — Taco Bell SSS at ~6.5% is below Q1's 8% print but above the brand's historical average, making it achievable but not a gimme; </w:t>
      </w:r>
      <w:r>
        <w:rPr>
          <w:rFonts w:ascii="Calibri" w:hAnsi="Calibri"/>
          <w:b/>
          <w:color w:val="525866"/>
          <w:sz w:val="22"/>
        </w:rPr>
        <w:t>Taco Bell SSS is the bigger swing factor</w:t>
      </w:r>
      <w:r>
        <w:rPr>
          <w:rFonts w:ascii="Calibri" w:hAnsi="Calibri"/>
          <w:color w:val="525866"/>
          <w:sz w:val="22"/>
        </w:rPr>
        <w:t xml:space="preserve"> given its outsized contribution to operating profit and the market's focus on whether momentum is durable.</w:t>
      </w:r>
    </w:p>
    <w:p>
      <w:pPr>
        <w:pStyle w:val="Heading3"/>
      </w:pPr>
      <w:r>
        <w:rPr>
          <w:rFonts w:ascii="Calibri" w:hAnsi="Calibri"/>
          <w:b/>
          <w:color w:val="3B4259"/>
          <w:sz w:val="24"/>
        </w:rPr>
        <w:t>Table 1 — Current Quarter Snapshot (Q2 2026 Key KPIs)</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tcPr>
          <w:p>
            <w:r>
              <w:rPr>
                <w:rFonts w:ascii="Calibri" w:hAnsi="Calibri"/>
                <w:b/>
                <w:sz w:val="22"/>
              </w:rPr>
              <w:t>KPI</w:t>
            </w:r>
          </w:p>
        </w:tc>
        <w:tc>
          <w:tcPr>
            <w:tcW w:type="dxa" w:w="1234"/>
          </w:tcPr>
          <w:p>
            <w:r>
              <w:rPr>
                <w:rFonts w:ascii="Calibri" w:hAnsi="Calibri"/>
                <w:b/>
                <w:sz w:val="22"/>
              </w:rPr>
              <w:t>Last Quarter Actual (Q1 2026)</w:t>
            </w:r>
          </w:p>
        </w:tc>
        <w:tc>
          <w:tcPr>
            <w:tcW w:type="dxa" w:w="1234"/>
          </w:tcPr>
          <w:p>
            <w:r>
              <w:rPr>
                <w:rFonts w:ascii="Calibri" w:hAnsi="Calibri"/>
                <w:b/>
                <w:sz w:val="22"/>
              </w:rPr>
              <w:t>Prior Year Period (Q2 2025 Actual)</w:t>
            </w:r>
          </w:p>
        </w:tc>
        <w:tc>
          <w:tcPr>
            <w:tcW w:type="dxa" w:w="1234"/>
          </w:tcPr>
          <w:p>
            <w:r>
              <w:rPr>
                <w:rFonts w:ascii="Calibri" w:hAnsi="Calibri"/>
                <w:b/>
                <w:sz w:val="22"/>
              </w:rPr>
              <w:t>Q2 2026 Consensus Estimate</w:t>
            </w:r>
          </w:p>
        </w:tc>
        <w:tc>
          <w:tcPr>
            <w:tcW w:type="dxa" w:w="1234"/>
          </w:tcPr>
          <w:p>
            <w:r>
              <w:rPr>
                <w:rFonts w:ascii="Calibri" w:hAnsi="Calibri"/>
                <w:b/>
                <w:sz w:val="22"/>
              </w:rPr>
              <w:t>YoY Change (vs. Q2 2025)</w:t>
            </w:r>
          </w:p>
        </w:tc>
        <w:tc>
          <w:tcPr>
            <w:tcW w:type="dxa" w:w="1234"/>
          </w:tcPr>
          <w:p>
            <w:r>
              <w:rPr>
                <w:rFonts w:ascii="Calibri" w:hAnsi="Calibri"/>
                <w:b/>
                <w:sz w:val="22"/>
              </w:rPr>
              <w:t>Guidance (FY 2026)</w:t>
            </w:r>
          </w:p>
        </w:tc>
        <w:tc>
          <w:tcPr>
            <w:tcW w:type="dxa" w:w="1234"/>
          </w:tcPr>
          <w:p>
            <w:r>
              <w:rPr>
                <w:rFonts w:ascii="Calibri" w:hAnsi="Calibri"/>
                <w:b/>
                <w:sz w:val="22"/>
              </w:rPr>
              <w:t>Consensus vs. Guidance</w:t>
            </w:r>
          </w:p>
        </w:tc>
      </w:tr>
      <w:tr>
        <w:tc>
          <w:tcPr>
            <w:tcW w:type="dxa" w:w="1234"/>
          </w:tcPr>
          <w:p>
            <w:r>
              <w:rPr>
                <w:rFonts w:ascii="Calibri" w:hAnsi="Calibri"/>
                <w:sz w:val="22"/>
              </w:rPr>
              <w:t>EPS — Diluted Operating ($)</w:t>
            </w:r>
          </w:p>
        </w:tc>
        <w:tc>
          <w:tcPr>
            <w:tcW w:type="dxa" w:w="1234"/>
          </w:tcPr>
          <w:p>
            <w:r>
              <w:rPr>
                <w:rFonts w:ascii="Calibri" w:hAnsi="Calibri"/>
                <w:sz w:val="22"/>
              </w:rPr>
              <w:t>$1.50</w:t>
            </w:r>
          </w:p>
        </w:tc>
        <w:tc>
          <w:tcPr>
            <w:tcW w:type="dxa" w:w="1234"/>
          </w:tcPr>
          <w:p>
            <w:r>
              <w:rPr>
                <w:rFonts w:ascii="Calibri" w:hAnsi="Calibri"/>
                <w:sz w:val="22"/>
              </w:rPr>
              <w:t>$1.44</w:t>
            </w:r>
          </w:p>
        </w:tc>
        <w:tc>
          <w:tcPr>
            <w:tcW w:type="dxa" w:w="1234"/>
          </w:tcPr>
          <w:p>
            <w:r>
              <w:rPr>
                <w:rFonts w:ascii="Calibri" w:hAnsi="Calibri"/>
                <w:sz w:val="22"/>
              </w:rPr>
              <w:t>$1.56</w:t>
            </w:r>
          </w:p>
        </w:tc>
        <w:tc>
          <w:tcPr>
            <w:tcW w:type="dxa" w:w="1234"/>
          </w:tcPr>
          <w:p>
            <w:r>
              <w:rPr>
                <w:rFonts w:ascii="Calibri" w:hAnsi="Calibri"/>
                <w:sz w:val="22"/>
              </w:rPr>
              <w:t>+8.3%</w:t>
            </w:r>
          </w:p>
        </w:tc>
        <w:tc>
          <w:tcPr>
            <w:tcW w:type="dxa" w:w="1234"/>
          </w:tcPr>
          <w:p>
            <w:r>
              <w:rPr>
                <w:rFonts w:ascii="Calibri" w:hAnsi="Calibri"/>
                <w:sz w:val="22"/>
              </w:rPr>
              <w:t>Meet or exceed LT algorithm ex-PH</w:t>
            </w:r>
          </w:p>
        </w:tc>
        <w:tc>
          <w:tcPr>
            <w:tcW w:type="dxa" w:w="1234"/>
          </w:tcPr>
          <w:p>
            <w:r>
              <w:rPr>
                <w:rFonts w:ascii="Calibri" w:hAnsi="Calibri"/>
                <w:sz w:val="22"/>
              </w:rPr>
              <w:t>Tracking above</w:t>
            </w:r>
          </w:p>
        </w:tc>
      </w:tr>
      <w:tr>
        <w:tc>
          <w:tcPr>
            <w:tcW w:type="dxa" w:w="1234"/>
          </w:tcPr>
          <w:p>
            <w:r>
              <w:rPr>
                <w:rFonts w:ascii="Calibri" w:hAnsi="Calibri"/>
                <w:sz w:val="22"/>
              </w:rPr>
              <w:t>Total Revenues ($B)</w:t>
            </w:r>
          </w:p>
        </w:tc>
        <w:tc>
          <w:tcPr>
            <w:tcW w:type="dxa" w:w="1234"/>
          </w:tcPr>
          <w:p>
            <w:r>
              <w:rPr>
                <w:rFonts w:ascii="Calibri" w:hAnsi="Calibri"/>
                <w:sz w:val="22"/>
              </w:rPr>
              <w:t>$2.059B</w:t>
            </w:r>
          </w:p>
        </w:tc>
        <w:tc>
          <w:tcPr>
            <w:tcW w:type="dxa" w:w="1234"/>
          </w:tcPr>
          <w:p>
            <w:r>
              <w:rPr>
                <w:rFonts w:ascii="Calibri" w:hAnsi="Calibri"/>
                <w:sz w:val="22"/>
              </w:rPr>
              <w:t>$1.933B</w:t>
            </w:r>
          </w:p>
        </w:tc>
        <w:tc>
          <w:tcPr>
            <w:tcW w:type="dxa" w:w="1234"/>
          </w:tcPr>
          <w:p>
            <w:r>
              <w:rPr>
                <w:rFonts w:ascii="Calibri" w:hAnsi="Calibri"/>
                <w:sz w:val="22"/>
              </w:rPr>
              <w:t>$2.177B</w:t>
            </w:r>
          </w:p>
        </w:tc>
        <w:tc>
          <w:tcPr>
            <w:tcW w:type="dxa" w:w="1234"/>
          </w:tcPr>
          <w:p>
            <w:r>
              <w:rPr>
                <w:rFonts w:ascii="Calibri" w:hAnsi="Calibri"/>
                <w:sz w:val="22"/>
              </w:rPr>
              <w:t>+12.6%</w:t>
            </w:r>
          </w:p>
        </w:tc>
        <w:tc>
          <w:tcPr>
            <w:tcW w:type="dxa" w:w="1234"/>
          </w:tcPr>
          <w:p>
            <w:r>
              <w:rPr>
                <w:rFonts w:ascii="Calibri" w:hAnsi="Calibri"/>
                <w:sz w:val="22"/>
              </w:rPr>
              <w:t>N/A (no specific revenue guidance)</w:t>
            </w:r>
          </w:p>
        </w:tc>
        <w:tc>
          <w:tcPr>
            <w:tcW w:type="dxa" w:w="1234"/>
          </w:tcPr>
          <w:p>
            <w:r>
              <w:rPr>
                <w:rFonts w:ascii="Calibri" w:hAnsi="Calibri"/>
                <w:sz w:val="22"/>
              </w:rPr>
              <w:t>N/A</w:t>
            </w:r>
          </w:p>
        </w:tc>
      </w:tr>
      <w:tr>
        <w:tc>
          <w:tcPr>
            <w:tcW w:type="dxa" w:w="1234"/>
          </w:tcPr>
          <w:p>
            <w:r>
              <w:rPr>
                <w:rFonts w:ascii="Calibri" w:hAnsi="Calibri"/>
                <w:sz w:val="22"/>
              </w:rPr>
              <w:t>Same-Store Sales — Taco Bell (%)</w:t>
            </w:r>
          </w:p>
        </w:tc>
        <w:tc>
          <w:tcPr>
            <w:tcW w:type="dxa" w:w="1234"/>
          </w:tcPr>
          <w:p>
            <w:r>
              <w:rPr>
                <w:rFonts w:ascii="Calibri" w:hAnsi="Calibri"/>
                <w:sz w:val="22"/>
              </w:rPr>
              <w:t>+8.0%</w:t>
            </w:r>
          </w:p>
        </w:tc>
        <w:tc>
          <w:tcPr>
            <w:tcW w:type="dxa" w:w="1234"/>
          </w:tcPr>
          <w:p>
            <w:r>
              <w:rPr>
                <w:rFonts w:ascii="Calibri" w:hAnsi="Calibri"/>
                <w:sz w:val="22"/>
              </w:rPr>
              <w:t>+4.0%</w:t>
            </w:r>
          </w:p>
        </w:tc>
        <w:tc>
          <w:tcPr>
            <w:tcW w:type="dxa" w:w="1234"/>
          </w:tcPr>
          <w:p>
            <w:r>
              <w:rPr>
                <w:rFonts w:ascii="Calibri" w:hAnsi="Calibri"/>
                <w:sz w:val="22"/>
              </w:rPr>
              <w:t>+6.5%</w:t>
            </w:r>
          </w:p>
        </w:tc>
        <w:tc>
          <w:tcPr>
            <w:tcW w:type="dxa" w:w="1234"/>
          </w:tcPr>
          <w:p>
            <w:r>
              <w:rPr>
                <w:rFonts w:ascii="Calibri" w:hAnsi="Calibri"/>
                <w:sz w:val="22"/>
              </w:rPr>
              <w:t>+250bps</w:t>
            </w:r>
          </w:p>
        </w:tc>
        <w:tc>
          <w:tcPr>
            <w:tcW w:type="dxa" w:w="1234"/>
          </w:tcPr>
          <w:p>
            <w:r>
              <w:rPr>
                <w:rFonts w:ascii="Calibri" w:hAnsi="Calibri"/>
                <w:sz w:val="22"/>
              </w:rPr>
              <w:t>Confidence in continued momentum</w:t>
            </w:r>
          </w:p>
        </w:tc>
        <w:tc>
          <w:tcPr>
            <w:tcW w:type="dxa" w:w="1234"/>
          </w:tcPr>
          <w:p>
            <w:r>
              <w:rPr>
                <w:rFonts w:ascii="Calibri" w:hAnsi="Calibri"/>
                <w:sz w:val="22"/>
              </w:rPr>
              <w:t>In line with raised tone</w:t>
            </w:r>
          </w:p>
        </w:tc>
      </w:tr>
      <w:tr>
        <w:tc>
          <w:tcPr>
            <w:tcW w:type="dxa" w:w="1234"/>
          </w:tcPr>
          <w:p>
            <w:r>
              <w:rPr>
                <w:rFonts w:ascii="Calibri" w:hAnsi="Calibri"/>
                <w:sz w:val="22"/>
              </w:rPr>
              <w:t>Same-Store Sales — KFC (%)</w:t>
            </w:r>
          </w:p>
        </w:tc>
        <w:tc>
          <w:tcPr>
            <w:tcW w:type="dxa" w:w="1234"/>
          </w:tcPr>
          <w:p>
            <w:r>
              <w:rPr>
                <w:rFonts w:ascii="Calibri" w:hAnsi="Calibri"/>
                <w:sz w:val="22"/>
              </w:rPr>
              <w:t>+2.0%</w:t>
            </w:r>
          </w:p>
        </w:tc>
        <w:tc>
          <w:tcPr>
            <w:tcW w:type="dxa" w:w="1234"/>
          </w:tcPr>
          <w:p>
            <w:r>
              <w:rPr>
                <w:rFonts w:ascii="Calibri" w:hAnsi="Calibri"/>
                <w:sz w:val="22"/>
              </w:rPr>
              <w:t>+2.0%</w:t>
            </w:r>
          </w:p>
        </w:tc>
        <w:tc>
          <w:tcPr>
            <w:tcW w:type="dxa" w:w="1234"/>
          </w:tcPr>
          <w:p>
            <w:r>
              <w:rPr>
                <w:rFonts w:ascii="Calibri" w:hAnsi="Calibri"/>
                <w:sz w:val="22"/>
              </w:rPr>
              <w:t>+2.0%</w:t>
            </w:r>
          </w:p>
        </w:tc>
        <w:tc>
          <w:tcPr>
            <w:tcW w:type="dxa" w:w="1234"/>
          </w:tcPr>
          <w:p>
            <w:r>
              <w:rPr>
                <w:rFonts w:ascii="Calibri" w:hAnsi="Calibri"/>
                <w:sz w:val="22"/>
              </w:rPr>
              <w:t>Flat YoY</w:t>
            </w:r>
          </w:p>
        </w:tc>
        <w:tc>
          <w:tcPr>
            <w:tcW w:type="dxa" w:w="1234"/>
          </w:tcPr>
          <w:p>
            <w:r>
              <w:rPr>
                <w:rFonts w:ascii="Calibri" w:hAnsi="Calibri"/>
                <w:sz w:val="22"/>
              </w:rPr>
              <w:t>No change to unit development outlook</w:t>
            </w:r>
          </w:p>
        </w:tc>
        <w:tc>
          <w:tcPr>
            <w:tcW w:type="dxa" w:w="1234"/>
          </w:tcPr>
          <w:p>
            <w:r>
              <w:rPr>
                <w:rFonts w:ascii="Calibri" w:hAnsi="Calibri"/>
                <w:sz w:val="22"/>
              </w:rPr>
              <w:t>In line</w:t>
            </w:r>
          </w:p>
        </w:tc>
      </w:tr>
      <w:tr>
        <w:tc>
          <w:tcPr>
            <w:tcW w:type="dxa" w:w="1234"/>
          </w:tcPr>
          <w:p>
            <w:r>
              <w:rPr>
                <w:rFonts w:ascii="Calibri" w:hAnsi="Calibri"/>
                <w:sz w:val="22"/>
              </w:rPr>
              <w:t>Same-Store Sales — Pizza Hut (%)</w:t>
            </w:r>
          </w:p>
        </w:tc>
        <w:tc>
          <w:tcPr>
            <w:tcW w:type="dxa" w:w="1234"/>
          </w:tcPr>
          <w:p>
            <w:r>
              <w:rPr>
                <w:rFonts w:ascii="Calibri" w:hAnsi="Calibri"/>
                <w:sz w:val="22"/>
              </w:rPr>
              <w:t>0.0%</w:t>
            </w:r>
          </w:p>
        </w:tc>
        <w:tc>
          <w:tcPr>
            <w:tcW w:type="dxa" w:w="1234"/>
          </w:tcPr>
          <w:p>
            <w:r>
              <w:rPr>
                <w:rFonts w:ascii="Calibri" w:hAnsi="Calibri"/>
                <w:sz w:val="22"/>
              </w:rPr>
              <w:t>-1.0%</w:t>
            </w:r>
          </w:p>
        </w:tc>
        <w:tc>
          <w:tcPr>
            <w:tcW w:type="dxa" w:w="1234"/>
          </w:tcPr>
          <w:p>
            <w:r>
              <w:rPr>
                <w:rFonts w:ascii="Calibri" w:hAnsi="Calibri"/>
                <w:sz w:val="22"/>
              </w:rPr>
              <w:t>-0.7%</w:t>
            </w:r>
          </w:p>
        </w:tc>
        <w:tc>
          <w:tcPr>
            <w:tcW w:type="dxa" w:w="1234"/>
          </w:tcPr>
          <w:p>
            <w:r>
              <w:rPr>
                <w:rFonts w:ascii="Calibri" w:hAnsi="Calibri"/>
                <w:sz w:val="22"/>
              </w:rPr>
              <w:t>+30bps</w:t>
            </w:r>
          </w:p>
        </w:tc>
        <w:tc>
          <w:tcPr>
            <w:tcW w:type="dxa" w:w="1234"/>
          </w:tcPr>
          <w:p>
            <w:r>
              <w:rPr>
                <w:rFonts w:ascii="Calibri" w:hAnsi="Calibri"/>
                <w:sz w:val="22"/>
              </w:rPr>
              <w:t>Divestiture pending (Q3 2026 close)</w:t>
            </w:r>
          </w:p>
        </w:tc>
        <w:tc>
          <w:tcPr>
            <w:tcW w:type="dxa" w:w="1234"/>
          </w:tcPr>
          <w:p>
            <w:r>
              <w:rPr>
                <w:rFonts w:ascii="Calibri" w:hAnsi="Calibri"/>
                <w:sz w:val="22"/>
              </w:rPr>
              <w:t>N/A — divesting</w:t>
            </w:r>
          </w:p>
        </w:tc>
      </w:tr>
      <w:tr>
        <w:tc>
          <w:tcPr>
            <w:tcW w:type="dxa" w:w="1234"/>
          </w:tcPr>
          <w:p>
            <w:r>
              <w:rPr>
                <w:rFonts w:ascii="Calibri" w:hAnsi="Calibri"/>
                <w:sz w:val="22"/>
              </w:rPr>
              <w:t>Net New Unit Additions (#)</w:t>
            </w:r>
          </w:p>
        </w:tc>
        <w:tc>
          <w:tcPr>
            <w:tcW w:type="dxa" w:w="1234"/>
          </w:tcPr>
          <w:p>
            <w:r>
              <w:rPr>
                <w:rFonts w:ascii="Calibri" w:hAnsi="Calibri"/>
                <w:sz w:val="22"/>
              </w:rPr>
              <w:t>+400</w:t>
            </w:r>
          </w:p>
        </w:tc>
        <w:tc>
          <w:tcPr>
            <w:tcW w:type="dxa" w:w="1234"/>
          </w:tcPr>
          <w:p>
            <w:r>
              <w:rPr>
                <w:rFonts w:ascii="Calibri" w:hAnsi="Calibri"/>
                <w:sz w:val="22"/>
              </w:rPr>
              <w:t>+386</w:t>
            </w:r>
          </w:p>
        </w:tc>
        <w:tc>
          <w:tcPr>
            <w:tcW w:type="dxa" w:w="1234"/>
          </w:tcPr>
          <w:p>
            <w:r>
              <w:rPr>
                <w:rFonts w:ascii="Calibri" w:hAnsi="Calibri"/>
                <w:sz w:val="22"/>
              </w:rPr>
              <w:t>-687 (incl. PH divestiture impact)</w:t>
            </w:r>
          </w:p>
        </w:tc>
        <w:tc>
          <w:tcPr>
            <w:tcW w:type="dxa" w:w="1234"/>
          </w:tcPr>
          <w:p>
            <w:r>
              <w:rPr>
                <w:rFonts w:ascii="Calibri" w:hAnsi="Calibri"/>
                <w:sz w:val="22"/>
              </w:rPr>
              <w:t>N/M (PH divestiture distorts)</w:t>
            </w:r>
          </w:p>
        </w:tc>
        <w:tc>
          <w:tcPr>
            <w:tcW w:type="dxa" w:w="1234"/>
          </w:tcPr>
          <w:p>
            <w:r>
              <w:rPr>
                <w:rFonts w:ascii="Calibri" w:hAnsi="Calibri"/>
                <w:sz w:val="22"/>
              </w:rPr>
              <w:t>No change to KFC dev. outlook</w:t>
            </w:r>
          </w:p>
        </w:tc>
        <w:tc>
          <w:tcPr>
            <w:tcW w:type="dxa" w:w="1234"/>
          </w:tcPr>
          <w:p>
            <w:r>
              <w:rPr>
                <w:rFonts w:ascii="Calibri" w:hAnsi="Calibri"/>
                <w:sz w:val="22"/>
              </w:rPr>
              <w:t>N/M — PH distortion</w:t>
            </w:r>
          </w:p>
        </w:tc>
      </w:tr>
      <w:tr>
        <w:tc>
          <w:tcPr>
            <w:tcW w:type="dxa" w:w="1234"/>
          </w:tcPr>
          <w:p>
            <w:r>
              <w:rPr>
                <w:rFonts w:ascii="Calibri" w:hAnsi="Calibri"/>
                <w:sz w:val="22"/>
              </w:rPr>
              <w:t>Core Operating Profit — Taco Bell ($M)</w:t>
            </w:r>
          </w:p>
        </w:tc>
        <w:tc>
          <w:tcPr>
            <w:tcW w:type="dxa" w:w="1234"/>
          </w:tcPr>
          <w:p>
            <w:r>
              <w:rPr>
                <w:rFonts w:ascii="Calibri" w:hAnsi="Calibri"/>
                <w:sz w:val="22"/>
              </w:rPr>
              <w:t>$280M</w:t>
            </w:r>
          </w:p>
        </w:tc>
        <w:tc>
          <w:tcPr>
            <w:tcW w:type="dxa" w:w="1234"/>
          </w:tcPr>
          <w:p>
            <w:r>
              <w:rPr>
                <w:rFonts w:ascii="Calibri" w:hAnsi="Calibri"/>
                <w:sz w:val="22"/>
              </w:rPr>
              <w:t>$262M</w:t>
            </w:r>
          </w:p>
        </w:tc>
        <w:tc>
          <w:tcPr>
            <w:tcW w:type="dxa" w:w="1234"/>
          </w:tcPr>
          <w:p>
            <w:r>
              <w:rPr>
                <w:rFonts w:ascii="Calibri" w:hAnsi="Calibri"/>
                <w:sz w:val="22"/>
              </w:rPr>
              <w:t>$312M</w:t>
            </w:r>
          </w:p>
        </w:tc>
        <w:tc>
          <w:tcPr>
            <w:tcW w:type="dxa" w:w="1234"/>
          </w:tcPr>
          <w:p>
            <w:r>
              <w:rPr>
                <w:rFonts w:ascii="Calibri" w:hAnsi="Calibri"/>
                <w:sz w:val="22"/>
              </w:rPr>
              <w:t>+19.1%</w:t>
            </w:r>
          </w:p>
        </w:tc>
        <w:tc>
          <w:tcPr>
            <w:tcW w:type="dxa" w:w="1234"/>
          </w:tcPr>
          <w:p>
            <w:r>
              <w:rPr>
                <w:rFonts w:ascii="Calibri" w:hAnsi="Calibri"/>
                <w:sz w:val="22"/>
              </w:rPr>
              <w:t>Meet or exceed LT algorithm</w:t>
            </w:r>
          </w:p>
        </w:tc>
        <w:tc>
          <w:tcPr>
            <w:tcW w:type="dxa" w:w="1234"/>
          </w:tcPr>
          <w:p>
            <w:r>
              <w:rPr>
                <w:rFonts w:ascii="Calibri" w:hAnsi="Calibri"/>
                <w:sz w:val="22"/>
              </w:rPr>
              <w:t>Tracking above</w:t>
            </w:r>
          </w:p>
        </w:tc>
      </w:tr>
      <w:tr>
        <w:tc>
          <w:tcPr>
            <w:tcW w:type="dxa" w:w="1234"/>
          </w:tcPr>
          <w:p>
            <w:r>
              <w:rPr>
                <w:rFonts w:ascii="Calibri" w:hAnsi="Calibri"/>
                <w:sz w:val="22"/>
              </w:rPr>
              <w:t>Core Operating Profit — KFC ($M)</w:t>
            </w:r>
          </w:p>
        </w:tc>
        <w:tc>
          <w:tcPr>
            <w:tcW w:type="dxa" w:w="1234"/>
          </w:tcPr>
          <w:p>
            <w:r>
              <w:rPr>
                <w:rFonts w:ascii="Calibri" w:hAnsi="Calibri"/>
                <w:sz w:val="22"/>
              </w:rPr>
              <w:t>$360M</w:t>
            </w:r>
          </w:p>
        </w:tc>
        <w:tc>
          <w:tcPr>
            <w:tcW w:type="dxa" w:w="1234"/>
          </w:tcPr>
          <w:p>
            <w:r>
              <w:rPr>
                <w:rFonts w:ascii="Calibri" w:hAnsi="Calibri"/>
                <w:sz w:val="22"/>
              </w:rPr>
              <w:t>$361M</w:t>
            </w:r>
          </w:p>
        </w:tc>
        <w:tc>
          <w:tcPr>
            <w:tcW w:type="dxa" w:w="1234"/>
          </w:tcPr>
          <w:p>
            <w:r>
              <w:rPr>
                <w:rFonts w:ascii="Calibri" w:hAnsi="Calibri"/>
                <w:sz w:val="22"/>
              </w:rPr>
              <w:t>$398M</w:t>
            </w:r>
          </w:p>
        </w:tc>
        <w:tc>
          <w:tcPr>
            <w:tcW w:type="dxa" w:w="1234"/>
          </w:tcPr>
          <w:p>
            <w:r>
              <w:rPr>
                <w:rFonts w:ascii="Calibri" w:hAnsi="Calibri"/>
                <w:sz w:val="22"/>
              </w:rPr>
              <w:t>+10.2%</w:t>
            </w:r>
          </w:p>
        </w:tc>
        <w:tc>
          <w:tcPr>
            <w:tcW w:type="dxa" w:w="1234"/>
          </w:tcPr>
          <w:p>
            <w:r>
              <w:rPr>
                <w:rFonts w:ascii="Calibri" w:hAnsi="Calibri"/>
                <w:sz w:val="22"/>
              </w:rPr>
              <w:t>Meet or exceed LT algorithm</w:t>
            </w:r>
          </w:p>
        </w:tc>
        <w:tc>
          <w:tcPr>
            <w:tcW w:type="dxa" w:w="1234"/>
          </w:tcPr>
          <w:p>
            <w:r>
              <w:rPr>
                <w:rFonts w:ascii="Calibri" w:hAnsi="Calibri"/>
                <w:sz w:val="22"/>
              </w:rPr>
              <w:t>Tracking above</w:t>
            </w:r>
          </w:p>
        </w:tc>
      </w:tr>
      <w:tr>
        <w:tc>
          <w:tcPr>
            <w:tcW w:type="dxa" w:w="1234"/>
          </w:tcPr>
          <w:p>
            <w:r>
              <w:rPr>
                <w:rFonts w:ascii="Calibri" w:hAnsi="Calibri"/>
                <w:sz w:val="22"/>
              </w:rPr>
              <w:t>Taco Bell Restaurant-Level Margin (%)</w:t>
            </w:r>
          </w:p>
        </w:tc>
        <w:tc>
          <w:tcPr>
            <w:tcW w:type="dxa" w:w="1234"/>
          </w:tcPr>
          <w:p>
            <w:r>
              <w:rPr>
                <w:rFonts w:ascii="Calibri" w:hAnsi="Calibri"/>
                <w:sz w:val="22"/>
              </w:rPr>
              <w:t>23.7%</w:t>
            </w:r>
          </w:p>
        </w:tc>
        <w:tc>
          <w:tcPr>
            <w:tcW w:type="dxa" w:w="1234"/>
          </w:tcPr>
          <w:p>
            <w:r>
              <w:rPr>
                <w:rFonts w:ascii="Calibri" w:hAnsi="Calibri"/>
                <w:sz w:val="22"/>
              </w:rPr>
              <w:t>24.4%</w:t>
            </w:r>
          </w:p>
        </w:tc>
        <w:tc>
          <w:tcPr>
            <w:tcW w:type="dxa" w:w="1234"/>
          </w:tcPr>
          <w:p>
            <w:r>
              <w:rPr>
                <w:rFonts w:ascii="Calibri" w:hAnsi="Calibri"/>
                <w:sz w:val="22"/>
              </w:rPr>
              <w:t>25.2%</w:t>
            </w:r>
          </w:p>
        </w:tc>
        <w:tc>
          <w:tcPr>
            <w:tcW w:type="dxa" w:w="1234"/>
          </w:tcPr>
          <w:p>
            <w:r>
              <w:rPr>
                <w:rFonts w:ascii="Calibri" w:hAnsi="Calibri"/>
                <w:sz w:val="22"/>
              </w:rPr>
              <w:t>+80bps</w:t>
            </w:r>
          </w:p>
        </w:tc>
        <w:tc>
          <w:tcPr>
            <w:tcW w:type="dxa" w:w="1234"/>
          </w:tcPr>
          <w:p>
            <w:r>
              <w:rPr>
                <w:rFonts w:ascii="Calibri" w:hAnsi="Calibri"/>
                <w:sz w:val="22"/>
              </w:rPr>
              <w:t>24.5%–25.5% (raised from prior guidance)</w:t>
            </w:r>
          </w:p>
        </w:tc>
        <w:tc>
          <w:tcPr>
            <w:tcW w:type="dxa" w:w="1234"/>
          </w:tcPr>
          <w:p>
            <w:r>
              <w:rPr>
                <w:rFonts w:ascii="Calibri" w:hAnsi="Calibri"/>
                <w:sz w:val="22"/>
              </w:rPr>
              <w:t>At midpoint of raised guidance</w:t>
            </w:r>
          </w:p>
        </w:tc>
      </w:tr>
    </w:tbl>
    <w:p>
      <w:r>
        <w:rPr>
          <w:rFonts w:ascii="Calibri" w:hAnsi="Calibri"/>
          <w:color w:val="525866"/>
          <w:sz w:val="22"/>
        </w:rPr>
        <w:t>Source: Visible Alpha Consensus and Actuals Data. All consensus figures as of July 29, 2026. Net new unit additions for Q2 2026 consensus reflects Pizza Hut divestiture impact on unit count; ex-PH development remains on track per management guidance.</w:t>
      </w:r>
    </w:p>
    <w:p>
      <w:pPr>
        <w:pStyle w:val="Heading3"/>
      </w:pPr>
      <w:r>
        <w:rPr>
          <w:rFonts w:ascii="Calibri" w:hAnsi="Calibri"/>
          <w:b/>
          <w:color w:val="3B4259"/>
          <w:sz w:val="24"/>
        </w:rPr>
        <w:t>Table 2 — Beat/Miss History (Last 8 Quarters, Top 2 KPIs)</w:t>
      </w:r>
    </w:p>
    <w:p>
      <w:r>
        <w:rPr>
          <w:rFonts w:ascii="Calibri" w:hAnsi="Calibri"/>
          <w:b/>
          <w:color w:val="525866"/>
          <w:sz w:val="22"/>
        </w:rPr>
        <w:t>KPI 1: EPS — Diluted Operating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Pr>
                <w:rFonts w:ascii="Calibri" w:hAnsi="Calibri"/>
                <w:b/>
                <w:sz w:val="22"/>
              </w:rPr>
              <w:t>Quarter</w:t>
            </w:r>
          </w:p>
        </w:tc>
        <w:tc>
          <w:tcPr>
            <w:tcW w:type="dxa" w:w="1728"/>
          </w:tcPr>
          <w:p>
            <w:r>
              <w:rPr>
                <w:rFonts w:ascii="Calibri" w:hAnsi="Calibri"/>
                <w:b/>
                <w:sz w:val="22"/>
              </w:rPr>
              <w:t>Reported</w:t>
            </w:r>
          </w:p>
        </w:tc>
        <w:tc>
          <w:tcPr>
            <w:tcW w:type="dxa" w:w="1728"/>
          </w:tcPr>
          <w:p>
            <w:r>
              <w:rPr>
                <w:rFonts w:ascii="Calibri" w:hAnsi="Calibri"/>
                <w:b/>
                <w:sz w:val="22"/>
              </w:rPr>
              <w:t>Consensus</w:t>
            </w:r>
          </w:p>
        </w:tc>
        <w:tc>
          <w:tcPr>
            <w:tcW w:type="dxa" w:w="1728"/>
          </w:tcPr>
          <w:p>
            <w:r>
              <w:rPr>
                <w:rFonts w:ascii="Calibri" w:hAnsi="Calibri"/>
                <w:b/>
                <w:sz w:val="22"/>
              </w:rPr>
              <w:t>Surprise %</w:t>
            </w:r>
          </w:p>
        </w:tc>
        <w:tc>
          <w:tcPr>
            <w:tcW w:type="dxa" w:w="1728"/>
          </w:tcPr>
          <w:p>
            <w:r>
              <w:rPr>
                <w:rFonts w:ascii="Calibri" w:hAnsi="Calibri"/>
                <w:b/>
                <w:sz w:val="22"/>
              </w:rPr>
              <w:t>Result</w:t>
            </w:r>
          </w:p>
        </w:tc>
      </w:tr>
      <w:tr>
        <w:tc>
          <w:tcPr>
            <w:tcW w:type="dxa" w:w="1728"/>
          </w:tcPr>
          <w:p>
            <w:r>
              <w:rPr>
                <w:rFonts w:ascii="Calibri" w:hAnsi="Calibri"/>
                <w:sz w:val="22"/>
              </w:rPr>
              <w:t>Q2 2024</w:t>
            </w:r>
          </w:p>
        </w:tc>
        <w:tc>
          <w:tcPr>
            <w:tcW w:type="dxa" w:w="1728"/>
          </w:tcPr>
          <w:p>
            <w:r>
              <w:rPr>
                <w:rFonts w:ascii="Calibri" w:hAnsi="Calibri"/>
                <w:sz w:val="22"/>
              </w:rPr>
              <w:t>$1.35</w:t>
            </w:r>
          </w:p>
        </w:tc>
        <w:tc>
          <w:tcPr>
            <w:tcW w:type="dxa" w:w="1728"/>
          </w:tcPr>
          <w:p>
            <w:r>
              <w:rPr>
                <w:rFonts w:ascii="Calibri" w:hAnsi="Calibri"/>
                <w:sz w:val="22"/>
              </w:rPr>
              <w:t>$1.33</w:t>
            </w:r>
          </w:p>
        </w:tc>
        <w:tc>
          <w:tcPr>
            <w:tcW w:type="dxa" w:w="1728"/>
          </w:tcPr>
          <w:p>
            <w:r>
              <w:rPr>
                <w:rFonts w:ascii="Calibri" w:hAnsi="Calibri"/>
                <w:sz w:val="22"/>
              </w:rPr>
              <w:t>+1.5%</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$1.37</w:t>
            </w:r>
          </w:p>
        </w:tc>
        <w:tc>
          <w:tcPr>
            <w:tcW w:type="dxa" w:w="1728"/>
          </w:tcPr>
          <w:p>
            <w:r>
              <w:rPr>
                <w:rFonts w:ascii="Calibri" w:hAnsi="Calibri"/>
                <w:sz w:val="22"/>
              </w:rPr>
              <w:t>$1.41</w:t>
            </w:r>
          </w:p>
        </w:tc>
        <w:tc>
          <w:tcPr>
            <w:tcW w:type="dxa" w:w="1728"/>
          </w:tcPr>
          <w:p>
            <w:r>
              <w:rPr>
                <w:rFonts w:ascii="Calibri" w:hAnsi="Calibri"/>
                <w:sz w:val="22"/>
              </w:rPr>
              <w:t>-2.8%</w:t>
            </w:r>
          </w:p>
        </w:tc>
        <w:tc>
          <w:tcPr>
            <w:tcW w:type="dxa" w:w="1728"/>
          </w:tcPr>
          <w:p>
            <w:r>
              <w:rPr>
                <w:rFonts w:ascii="Calibri" w:hAnsi="Calibri"/>
                <w:b/>
                <w:color w:val="E5484D"/>
                <w:sz w:val="22"/>
              </w:rPr>
              <w:t>Miss</w:t>
            </w:r>
          </w:p>
        </w:tc>
      </w:tr>
      <w:tr>
        <w:tc>
          <w:tcPr>
            <w:tcW w:type="dxa" w:w="1728"/>
          </w:tcPr>
          <w:p>
            <w:r>
              <w:rPr>
                <w:rFonts w:ascii="Calibri" w:hAnsi="Calibri"/>
                <w:sz w:val="22"/>
              </w:rPr>
              <w:t>Q4 2024</w:t>
            </w:r>
          </w:p>
        </w:tc>
        <w:tc>
          <w:tcPr>
            <w:tcW w:type="dxa" w:w="1728"/>
          </w:tcPr>
          <w:p>
            <w:r>
              <w:rPr>
                <w:rFonts w:ascii="Calibri" w:hAnsi="Calibri"/>
                <w:sz w:val="22"/>
              </w:rPr>
              <w:t>$1.61</w:t>
            </w:r>
          </w:p>
        </w:tc>
        <w:tc>
          <w:tcPr>
            <w:tcW w:type="dxa" w:w="1728"/>
          </w:tcPr>
          <w:p>
            <w:r>
              <w:rPr>
                <w:rFonts w:ascii="Calibri" w:hAnsi="Calibri"/>
                <w:sz w:val="22"/>
              </w:rPr>
              <w:t>$1.60</w:t>
            </w:r>
          </w:p>
        </w:tc>
        <w:tc>
          <w:tcPr>
            <w:tcW w:type="dxa" w:w="1728"/>
          </w:tcPr>
          <w:p>
            <w:r>
              <w:rPr>
                <w:rFonts w:ascii="Calibri" w:hAnsi="Calibri"/>
                <w:sz w:val="22"/>
              </w:rPr>
              <w:t>+0.6%</w:t>
            </w:r>
          </w:p>
        </w:tc>
        <w:tc>
          <w:tcPr>
            <w:tcW w:type="dxa" w:w="1728"/>
          </w:tcPr>
          <w:p>
            <w:r>
              <w:rPr>
                <w:rFonts w:ascii="Calibri" w:hAnsi="Calibri"/>
                <w:b/>
                <w:color w:val="30A46C"/>
                <w:sz w:val="22"/>
              </w:rPr>
              <w:t>Beat</w:t>
            </w:r>
          </w:p>
        </w:tc>
      </w:tr>
      <w:tr>
        <w:tc>
          <w:tcPr>
            <w:tcW w:type="dxa" w:w="1728"/>
          </w:tcPr>
          <w:p>
            <w:r>
              <w:rPr>
                <w:rFonts w:ascii="Calibri" w:hAnsi="Calibri"/>
                <w:sz w:val="22"/>
              </w:rPr>
              <w:t>Q1 2025</w:t>
            </w:r>
          </w:p>
        </w:tc>
        <w:tc>
          <w:tcPr>
            <w:tcW w:type="dxa" w:w="1728"/>
          </w:tcPr>
          <w:p>
            <w:r>
              <w:rPr>
                <w:rFonts w:ascii="Calibri" w:hAnsi="Calibri"/>
                <w:sz w:val="22"/>
              </w:rPr>
              <w:t>$1.30</w:t>
            </w:r>
          </w:p>
        </w:tc>
        <w:tc>
          <w:tcPr>
            <w:tcW w:type="dxa" w:w="1728"/>
          </w:tcPr>
          <w:p>
            <w:r>
              <w:rPr>
                <w:rFonts w:ascii="Calibri" w:hAnsi="Calibri"/>
                <w:sz w:val="22"/>
              </w:rPr>
              <w:t>$1.29</w:t>
            </w:r>
          </w:p>
        </w:tc>
        <w:tc>
          <w:tcPr>
            <w:tcW w:type="dxa" w:w="1728"/>
          </w:tcPr>
          <w:p>
            <w:r>
              <w:rPr>
                <w:rFonts w:ascii="Calibri" w:hAnsi="Calibri"/>
                <w:sz w:val="22"/>
              </w:rPr>
              <w:t>+0.8%</w:t>
            </w:r>
          </w:p>
        </w:tc>
        <w:tc>
          <w:tcPr>
            <w:tcW w:type="dxa" w:w="1728"/>
          </w:tcPr>
          <w:p>
            <w:r>
              <w:rPr>
                <w:rFonts w:ascii="Calibri" w:hAnsi="Calibri"/>
                <w:b/>
                <w:color w:val="30A46C"/>
                <w:sz w:val="22"/>
              </w:rPr>
              <w:t>Beat</w:t>
            </w:r>
          </w:p>
        </w:tc>
      </w:tr>
      <w:tr>
        <w:tc>
          <w:tcPr>
            <w:tcW w:type="dxa" w:w="1728"/>
          </w:tcPr>
          <w:p>
            <w:r>
              <w:rPr>
                <w:rFonts w:ascii="Calibri" w:hAnsi="Calibri"/>
                <w:sz w:val="22"/>
              </w:rPr>
              <w:t>Q2 2025</w:t>
            </w:r>
          </w:p>
        </w:tc>
        <w:tc>
          <w:tcPr>
            <w:tcW w:type="dxa" w:w="1728"/>
          </w:tcPr>
          <w:p>
            <w:r>
              <w:rPr>
                <w:rFonts w:ascii="Calibri" w:hAnsi="Calibri"/>
                <w:sz w:val="22"/>
              </w:rPr>
              <w:t>$1.44</w:t>
            </w:r>
          </w:p>
        </w:tc>
        <w:tc>
          <w:tcPr>
            <w:tcW w:type="dxa" w:w="1728"/>
          </w:tcPr>
          <w:p>
            <w:r>
              <w:rPr>
                <w:rFonts w:ascii="Calibri" w:hAnsi="Calibri"/>
                <w:sz w:val="22"/>
              </w:rPr>
              <w:t>$1.46</w:t>
            </w:r>
          </w:p>
        </w:tc>
        <w:tc>
          <w:tcPr>
            <w:tcW w:type="dxa" w:w="1728"/>
          </w:tcPr>
          <w:p>
            <w:r>
              <w:rPr>
                <w:rFonts w:ascii="Calibri" w:hAnsi="Calibri"/>
                <w:sz w:val="22"/>
              </w:rPr>
              <w:t>-1.4%</w:t>
            </w:r>
          </w:p>
        </w:tc>
        <w:tc>
          <w:tcPr>
            <w:tcW w:type="dxa" w:w="1728"/>
          </w:tcPr>
          <w:p>
            <w:r>
              <w:rPr>
                <w:rFonts w:ascii="Calibri" w:hAnsi="Calibri"/>
                <w:b/>
                <w:color w:val="E5484D"/>
                <w:sz w:val="22"/>
              </w:rPr>
              <w:t>Miss</w:t>
            </w:r>
          </w:p>
        </w:tc>
      </w:tr>
      <w:tr>
        <w:tc>
          <w:tcPr>
            <w:tcW w:type="dxa" w:w="1728"/>
          </w:tcPr>
          <w:p>
            <w:r>
              <w:rPr>
                <w:rFonts w:ascii="Calibri" w:hAnsi="Calibri"/>
                <w:sz w:val="22"/>
              </w:rPr>
              <w:t>Q3 2025</w:t>
            </w:r>
          </w:p>
        </w:tc>
        <w:tc>
          <w:tcPr>
            <w:tcW w:type="dxa" w:w="1728"/>
          </w:tcPr>
          <w:p>
            <w:r>
              <w:rPr>
                <w:rFonts w:ascii="Calibri" w:hAnsi="Calibri"/>
                <w:sz w:val="22"/>
              </w:rPr>
              <w:t>$1.58</w:t>
            </w:r>
          </w:p>
        </w:tc>
        <w:tc>
          <w:tcPr>
            <w:tcW w:type="dxa" w:w="1728"/>
          </w:tcPr>
          <w:p>
            <w:r>
              <w:rPr>
                <w:rFonts w:ascii="Calibri" w:hAnsi="Calibri"/>
                <w:sz w:val="22"/>
              </w:rPr>
              <w:t>$1.49</w:t>
            </w:r>
          </w:p>
        </w:tc>
        <w:tc>
          <w:tcPr>
            <w:tcW w:type="dxa" w:w="1728"/>
          </w:tcPr>
          <w:p>
            <w:r>
              <w:rPr>
                <w:rFonts w:ascii="Calibri" w:hAnsi="Calibri"/>
                <w:sz w:val="22"/>
              </w:rPr>
              <w:t>+6.0%</w:t>
            </w:r>
          </w:p>
        </w:tc>
        <w:tc>
          <w:tcPr>
            <w:tcW w:type="dxa" w:w="1728"/>
          </w:tcPr>
          <w:p>
            <w:r>
              <w:rPr>
                <w:rFonts w:ascii="Calibri" w:hAnsi="Calibri"/>
                <w:b/>
                <w:color w:val="30A46C"/>
                <w:sz w:val="22"/>
              </w:rPr>
              <w:t>Beat</w:t>
            </w:r>
          </w:p>
        </w:tc>
      </w:tr>
      <w:tr>
        <w:tc>
          <w:tcPr>
            <w:tcW w:type="dxa" w:w="1728"/>
          </w:tcPr>
          <w:p>
            <w:r>
              <w:rPr>
                <w:rFonts w:ascii="Calibri" w:hAnsi="Calibri"/>
                <w:sz w:val="22"/>
              </w:rPr>
              <w:t>Q4 2025</w:t>
            </w:r>
          </w:p>
        </w:tc>
        <w:tc>
          <w:tcPr>
            <w:tcW w:type="dxa" w:w="1728"/>
          </w:tcPr>
          <w:p>
            <w:r>
              <w:rPr>
                <w:rFonts w:ascii="Calibri" w:hAnsi="Calibri"/>
                <w:sz w:val="22"/>
              </w:rPr>
              <w:t>$1.73</w:t>
            </w:r>
          </w:p>
        </w:tc>
        <w:tc>
          <w:tcPr>
            <w:tcW w:type="dxa" w:w="1728"/>
          </w:tcPr>
          <w:p>
            <w:r>
              <w:rPr>
                <w:rFonts w:ascii="Calibri" w:hAnsi="Calibri"/>
                <w:sz w:val="22"/>
              </w:rPr>
              <w:t>$1.75</w:t>
            </w:r>
          </w:p>
        </w:tc>
        <w:tc>
          <w:tcPr>
            <w:tcW w:type="dxa" w:w="1728"/>
          </w:tcPr>
          <w:p>
            <w:r>
              <w:rPr>
                <w:rFonts w:ascii="Calibri" w:hAnsi="Calibri"/>
                <w:sz w:val="22"/>
              </w:rPr>
              <w:t>-1.1%</w:t>
            </w:r>
          </w:p>
        </w:tc>
        <w:tc>
          <w:tcPr>
            <w:tcW w:type="dxa" w:w="1728"/>
          </w:tcPr>
          <w:p>
            <w:r>
              <w:rPr>
                <w:rFonts w:ascii="Calibri" w:hAnsi="Calibri"/>
                <w:b/>
                <w:color w:val="E5484D"/>
                <w:sz w:val="22"/>
              </w:rPr>
              <w:t>Miss</w:t>
            </w:r>
          </w:p>
        </w:tc>
      </w:tr>
      <w:tr>
        <w:tc>
          <w:tcPr>
            <w:tcW w:type="dxa" w:w="1728"/>
          </w:tcPr>
          <w:p>
            <w:r>
              <w:rPr>
                <w:rFonts w:ascii="Calibri" w:hAnsi="Calibri"/>
                <w:sz w:val="22"/>
              </w:rPr>
              <w:t>Q1 2026</w:t>
            </w:r>
          </w:p>
        </w:tc>
        <w:tc>
          <w:tcPr>
            <w:tcW w:type="dxa" w:w="1728"/>
          </w:tcPr>
          <w:p>
            <w:r>
              <w:rPr>
                <w:rFonts w:ascii="Calibri" w:hAnsi="Calibri"/>
                <w:sz w:val="22"/>
              </w:rPr>
              <w:t>$1.50</w:t>
            </w:r>
          </w:p>
        </w:tc>
        <w:tc>
          <w:tcPr>
            <w:tcW w:type="dxa" w:w="1728"/>
          </w:tcPr>
          <w:p>
            <w:r>
              <w:rPr>
                <w:rFonts w:ascii="Calibri" w:hAnsi="Calibri"/>
                <w:sz w:val="22"/>
              </w:rPr>
              <w:t>$1.38</w:t>
            </w:r>
          </w:p>
        </w:tc>
        <w:tc>
          <w:tcPr>
            <w:tcW w:type="dxa" w:w="1728"/>
          </w:tcPr>
          <w:p>
            <w:r>
              <w:rPr>
                <w:rFonts w:ascii="Calibri" w:hAnsi="Calibri"/>
                <w:sz w:val="22"/>
              </w:rPr>
              <w:t>+8.7%</w:t>
            </w:r>
          </w:p>
        </w:tc>
        <w:tc>
          <w:tcPr>
            <w:tcW w:type="dxa" w:w="1728"/>
          </w:tcPr>
          <w:p>
            <w:r>
              <w:rPr>
                <w:rFonts w:ascii="Calibri" w:hAnsi="Calibri"/>
                <w:b/>
                <w:color w:val="30A46C"/>
                <w:sz w:val="22"/>
              </w:rPr>
              <w:t>Beat</w:t>
            </w:r>
          </w:p>
        </w:tc>
      </w:tr>
    </w:tbl>
    <w:p>
      <w:r>
        <w:rPr>
          <w:rFonts w:ascii="Calibri" w:hAnsi="Calibri"/>
          <w:b/>
          <w:color w:val="525866"/>
          <w:sz w:val="22"/>
        </w:rPr>
        <w:t xml:space="preserve">Pattern: </w:t>
      </w:r>
      <w:r>
        <w:rPr>
          <w:rFonts w:ascii="Calibri" w:hAnsi="Calibri"/>
          <w:color w:val="525866"/>
          <w:sz w:val="22"/>
        </w:rPr>
        <w:t>YUM has beaten EPS consensus in 5 of the last 8 quarters, with the most recent Q1 2026 print delivering the largest positive surprise (+8.7%) in the trailing 8-quarter window, driven by Taco Bell outperformance; misses have been narrow (within ~3%) while beats have been more asymmetric, suggesting a conservative guidance culture.</w:t>
      </w:r>
    </w:p>
    <w:p>
      <w:r>
        <w:rPr>
          <w:rFonts w:ascii="Calibri" w:hAnsi="Calibri"/>
          <w:b/>
          <w:color w:val="525866"/>
          <w:sz w:val="22"/>
        </w:rPr>
        <w:t>KPI 2: Same-Store Sales — Taco Bell (%)</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Pr>
                <w:rFonts w:ascii="Calibri" w:hAnsi="Calibri"/>
                <w:b/>
                <w:sz w:val="22"/>
              </w:rPr>
              <w:t>Quarter</w:t>
            </w:r>
          </w:p>
        </w:tc>
        <w:tc>
          <w:tcPr>
            <w:tcW w:type="dxa" w:w="1728"/>
          </w:tcPr>
          <w:p>
            <w:r>
              <w:rPr>
                <w:rFonts w:ascii="Calibri" w:hAnsi="Calibri"/>
                <w:b/>
                <w:sz w:val="22"/>
              </w:rPr>
              <w:t>Reported (%)</w:t>
            </w:r>
          </w:p>
        </w:tc>
        <w:tc>
          <w:tcPr>
            <w:tcW w:type="dxa" w:w="1728"/>
          </w:tcPr>
          <w:p>
            <w:r>
              <w:rPr>
                <w:rFonts w:ascii="Calibri" w:hAnsi="Calibri"/>
                <w:b/>
                <w:sz w:val="22"/>
              </w:rPr>
              <w:t>Consensus (%)</w:t>
            </w:r>
          </w:p>
        </w:tc>
        <w:tc>
          <w:tcPr>
            <w:tcW w:type="dxa" w:w="1728"/>
          </w:tcPr>
          <w:p>
            <w:r>
              <w:rPr>
                <w:rFonts w:ascii="Calibri" w:hAnsi="Calibri"/>
                <w:b/>
                <w:sz w:val="22"/>
              </w:rPr>
              <w:t>Surprise (bps)</w:t>
            </w:r>
          </w:p>
        </w:tc>
        <w:tc>
          <w:tcPr>
            <w:tcW w:type="dxa" w:w="1728"/>
          </w:tcPr>
          <w:p>
            <w:r>
              <w:rPr>
                <w:rFonts w:ascii="Calibri" w:hAnsi="Calibri"/>
                <w:b/>
                <w:sz w:val="22"/>
              </w:rPr>
              <w:t>Result</w:t>
            </w:r>
          </w:p>
        </w:tc>
      </w:tr>
      <w:tr>
        <w:tc>
          <w:tcPr>
            <w:tcW w:type="dxa" w:w="1728"/>
          </w:tcPr>
          <w:p>
            <w:r>
              <w:rPr>
                <w:rFonts w:ascii="Calibri" w:hAnsi="Calibri"/>
                <w:sz w:val="22"/>
              </w:rPr>
              <w:t>Q2 2024</w:t>
            </w:r>
          </w:p>
        </w:tc>
        <w:tc>
          <w:tcPr>
            <w:tcW w:type="dxa" w:w="1728"/>
          </w:tcPr>
          <w:p>
            <w:r>
              <w:rPr>
                <w:rFonts w:ascii="Calibri" w:hAnsi="Calibri"/>
                <w:sz w:val="22"/>
              </w:rPr>
              <w:t>+5.0%</w:t>
            </w:r>
          </w:p>
        </w:tc>
        <w:tc>
          <w:tcPr>
            <w:tcW w:type="dxa" w:w="1728"/>
          </w:tcPr>
          <w:p>
            <w:r>
              <w:rPr>
                <w:rFonts w:ascii="Calibri" w:hAnsi="Calibri"/>
                <w:sz w:val="22"/>
              </w:rPr>
              <w:t>+3.9%</w:t>
            </w:r>
          </w:p>
        </w:tc>
        <w:tc>
          <w:tcPr>
            <w:tcW w:type="dxa" w:w="1728"/>
          </w:tcPr>
          <w:p>
            <w:r>
              <w:rPr>
                <w:rFonts w:ascii="Calibri" w:hAnsi="Calibri"/>
                <w:sz w:val="22"/>
              </w:rPr>
              <w:t>+110bps</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+4.0%</w:t>
            </w:r>
          </w:p>
        </w:tc>
        <w:tc>
          <w:tcPr>
            <w:tcW w:type="dxa" w:w="1728"/>
          </w:tcPr>
          <w:p>
            <w:r>
              <w:rPr>
                <w:rFonts w:ascii="Calibri" w:hAnsi="Calibri"/>
                <w:sz w:val="22"/>
              </w:rPr>
              <w:t>+3.0%</w:t>
            </w:r>
          </w:p>
        </w:tc>
        <w:tc>
          <w:tcPr>
            <w:tcW w:type="dxa" w:w="1728"/>
          </w:tcPr>
          <w:p>
            <w:r>
              <w:rPr>
                <w:rFonts w:ascii="Calibri" w:hAnsi="Calibri"/>
                <w:sz w:val="22"/>
              </w:rPr>
              <w:t>+100bps</w:t>
            </w:r>
          </w:p>
        </w:tc>
        <w:tc>
          <w:tcPr>
            <w:tcW w:type="dxa" w:w="1728"/>
          </w:tcPr>
          <w:p>
            <w:r>
              <w:rPr>
                <w:rFonts w:ascii="Calibri" w:hAnsi="Calibri"/>
                <w:b/>
                <w:color w:val="30A46C"/>
                <w:sz w:val="22"/>
              </w:rPr>
              <w:t>Beat</w:t>
            </w:r>
          </w:p>
        </w:tc>
      </w:tr>
      <w:tr>
        <w:tc>
          <w:tcPr>
            <w:tcW w:type="dxa" w:w="1728"/>
          </w:tcPr>
          <w:p>
            <w:r>
              <w:rPr>
                <w:rFonts w:ascii="Calibri" w:hAnsi="Calibri"/>
                <w:sz w:val="22"/>
              </w:rPr>
              <w:t>Q4 2024</w:t>
            </w:r>
          </w:p>
        </w:tc>
        <w:tc>
          <w:tcPr>
            <w:tcW w:type="dxa" w:w="1728"/>
          </w:tcPr>
          <w:p>
            <w:r>
              <w:rPr>
                <w:rFonts w:ascii="Calibri" w:hAnsi="Calibri"/>
                <w:sz w:val="22"/>
              </w:rPr>
              <w:t>+5.0%</w:t>
            </w:r>
          </w:p>
        </w:tc>
        <w:tc>
          <w:tcPr>
            <w:tcW w:type="dxa" w:w="1728"/>
          </w:tcPr>
          <w:p>
            <w:r>
              <w:rPr>
                <w:rFonts w:ascii="Calibri" w:hAnsi="Calibri"/>
                <w:sz w:val="22"/>
              </w:rPr>
              <w:t>+4.7%</w:t>
            </w:r>
          </w:p>
        </w:tc>
        <w:tc>
          <w:tcPr>
            <w:tcW w:type="dxa" w:w="1728"/>
          </w:tcPr>
          <w:p>
            <w:r>
              <w:rPr>
                <w:rFonts w:ascii="Calibri" w:hAnsi="Calibri"/>
                <w:sz w:val="22"/>
              </w:rPr>
              <w:t>+30bps</w:t>
            </w:r>
          </w:p>
        </w:tc>
        <w:tc>
          <w:tcPr>
            <w:tcW w:type="dxa" w:w="1728"/>
          </w:tcPr>
          <w:p>
            <w:r>
              <w:rPr>
                <w:rFonts w:ascii="Calibri" w:hAnsi="Calibri"/>
                <w:b/>
                <w:color w:val="30A46C"/>
                <w:sz w:val="22"/>
              </w:rPr>
              <w:t>Beat</w:t>
            </w:r>
          </w:p>
        </w:tc>
      </w:tr>
      <w:tr>
        <w:tc>
          <w:tcPr>
            <w:tcW w:type="dxa" w:w="1728"/>
          </w:tcPr>
          <w:p>
            <w:r>
              <w:rPr>
                <w:rFonts w:ascii="Calibri" w:hAnsi="Calibri"/>
                <w:sz w:val="22"/>
              </w:rPr>
              <w:t>Q1 2025</w:t>
            </w:r>
          </w:p>
        </w:tc>
        <w:tc>
          <w:tcPr>
            <w:tcW w:type="dxa" w:w="1728"/>
          </w:tcPr>
          <w:p>
            <w:r>
              <w:rPr>
                <w:rFonts w:ascii="Calibri" w:hAnsi="Calibri"/>
                <w:sz w:val="22"/>
              </w:rPr>
              <w:t>+9.0%</w:t>
            </w:r>
          </w:p>
        </w:tc>
        <w:tc>
          <w:tcPr>
            <w:tcW w:type="dxa" w:w="1728"/>
          </w:tcPr>
          <w:p>
            <w:r>
              <w:rPr>
                <w:rFonts w:ascii="Calibri" w:hAnsi="Calibri"/>
                <w:sz w:val="22"/>
              </w:rPr>
              <w:t>+7.5%</w:t>
            </w:r>
          </w:p>
        </w:tc>
        <w:tc>
          <w:tcPr>
            <w:tcW w:type="dxa" w:w="1728"/>
          </w:tcPr>
          <w:p>
            <w:r>
              <w:rPr>
                <w:rFonts w:ascii="Calibri" w:hAnsi="Calibri"/>
                <w:sz w:val="22"/>
              </w:rPr>
              <w:t>+150bps</w:t>
            </w:r>
          </w:p>
        </w:tc>
        <w:tc>
          <w:tcPr>
            <w:tcW w:type="dxa" w:w="1728"/>
          </w:tcPr>
          <w:p>
            <w:r>
              <w:rPr>
                <w:rFonts w:ascii="Calibri" w:hAnsi="Calibri"/>
                <w:b/>
                <w:color w:val="30A46C"/>
                <w:sz w:val="22"/>
              </w:rPr>
              <w:t>Beat</w:t>
            </w:r>
          </w:p>
        </w:tc>
      </w:tr>
      <w:tr>
        <w:tc>
          <w:tcPr>
            <w:tcW w:type="dxa" w:w="1728"/>
          </w:tcPr>
          <w:p>
            <w:r>
              <w:rPr>
                <w:rFonts w:ascii="Calibri" w:hAnsi="Calibri"/>
                <w:sz w:val="22"/>
              </w:rPr>
              <w:t>Q2 2025</w:t>
            </w:r>
          </w:p>
        </w:tc>
        <w:tc>
          <w:tcPr>
            <w:tcW w:type="dxa" w:w="1728"/>
          </w:tcPr>
          <w:p>
            <w:r>
              <w:rPr>
                <w:rFonts w:ascii="Calibri" w:hAnsi="Calibri"/>
                <w:sz w:val="22"/>
              </w:rPr>
              <w:t>+4.0%</w:t>
            </w:r>
          </w:p>
        </w:tc>
        <w:tc>
          <w:tcPr>
            <w:tcW w:type="dxa" w:w="1728"/>
          </w:tcPr>
          <w:p>
            <w:r>
              <w:rPr>
                <w:rFonts w:ascii="Calibri" w:hAnsi="Calibri"/>
                <w:sz w:val="22"/>
              </w:rPr>
              <w:t>+5.1%</w:t>
            </w:r>
          </w:p>
        </w:tc>
        <w:tc>
          <w:tcPr>
            <w:tcW w:type="dxa" w:w="1728"/>
          </w:tcPr>
          <w:p>
            <w:r>
              <w:rPr>
                <w:rFonts w:ascii="Calibri" w:hAnsi="Calibri"/>
                <w:sz w:val="22"/>
              </w:rPr>
              <w:t>-110bps</w:t>
            </w:r>
          </w:p>
        </w:tc>
        <w:tc>
          <w:tcPr>
            <w:tcW w:type="dxa" w:w="1728"/>
          </w:tcPr>
          <w:p>
            <w:r>
              <w:rPr>
                <w:rFonts w:ascii="Calibri" w:hAnsi="Calibri"/>
                <w:b/>
                <w:color w:val="E5484D"/>
                <w:sz w:val="22"/>
              </w:rPr>
              <w:t>Miss</w:t>
            </w:r>
          </w:p>
        </w:tc>
      </w:tr>
      <w:tr>
        <w:tc>
          <w:tcPr>
            <w:tcW w:type="dxa" w:w="1728"/>
          </w:tcPr>
          <w:p>
            <w:r>
              <w:rPr>
                <w:rFonts w:ascii="Calibri" w:hAnsi="Calibri"/>
                <w:sz w:val="22"/>
              </w:rPr>
              <w:t>Q3 2025</w:t>
            </w:r>
          </w:p>
        </w:tc>
        <w:tc>
          <w:tcPr>
            <w:tcW w:type="dxa" w:w="1728"/>
          </w:tcPr>
          <w:p>
            <w:r>
              <w:rPr>
                <w:rFonts w:ascii="Calibri" w:hAnsi="Calibri"/>
                <w:sz w:val="22"/>
              </w:rPr>
              <w:t>+7.0%</w:t>
            </w:r>
          </w:p>
        </w:tc>
        <w:tc>
          <w:tcPr>
            <w:tcW w:type="dxa" w:w="1728"/>
          </w:tcPr>
          <w:p>
            <w:r>
              <w:rPr>
                <w:rFonts w:ascii="Calibri" w:hAnsi="Calibri"/>
                <w:sz w:val="22"/>
              </w:rPr>
              <w:t>+5.2%</w:t>
            </w:r>
          </w:p>
        </w:tc>
        <w:tc>
          <w:tcPr>
            <w:tcW w:type="dxa" w:w="1728"/>
          </w:tcPr>
          <w:p>
            <w:r>
              <w:rPr>
                <w:rFonts w:ascii="Calibri" w:hAnsi="Calibri"/>
                <w:sz w:val="22"/>
              </w:rPr>
              <w:t>+180bps</w:t>
            </w:r>
          </w:p>
        </w:tc>
        <w:tc>
          <w:tcPr>
            <w:tcW w:type="dxa" w:w="1728"/>
          </w:tcPr>
          <w:p>
            <w:r>
              <w:rPr>
                <w:rFonts w:ascii="Calibri" w:hAnsi="Calibri"/>
                <w:b/>
                <w:color w:val="30A46C"/>
                <w:sz w:val="22"/>
              </w:rPr>
              <w:t>Beat</w:t>
            </w:r>
          </w:p>
        </w:tc>
      </w:tr>
      <w:tr>
        <w:tc>
          <w:tcPr>
            <w:tcW w:type="dxa" w:w="1728"/>
          </w:tcPr>
          <w:p>
            <w:r>
              <w:rPr>
                <w:rFonts w:ascii="Calibri" w:hAnsi="Calibri"/>
                <w:sz w:val="22"/>
              </w:rPr>
              <w:t>Q4 2025</w:t>
            </w:r>
          </w:p>
        </w:tc>
        <w:tc>
          <w:tcPr>
            <w:tcW w:type="dxa" w:w="1728"/>
          </w:tcPr>
          <w:p>
            <w:r>
              <w:rPr>
                <w:rFonts w:ascii="Calibri" w:hAnsi="Calibri"/>
                <w:sz w:val="22"/>
              </w:rPr>
              <w:t>+7.0%</w:t>
            </w:r>
          </w:p>
        </w:tc>
        <w:tc>
          <w:tcPr>
            <w:tcW w:type="dxa" w:w="1728"/>
          </w:tcPr>
          <w:p>
            <w:r>
              <w:rPr>
                <w:rFonts w:ascii="Calibri" w:hAnsi="Calibri"/>
                <w:sz w:val="22"/>
              </w:rPr>
              <w:t>+5.3%</w:t>
            </w:r>
          </w:p>
        </w:tc>
        <w:tc>
          <w:tcPr>
            <w:tcW w:type="dxa" w:w="1728"/>
          </w:tcPr>
          <w:p>
            <w:r>
              <w:rPr>
                <w:rFonts w:ascii="Calibri" w:hAnsi="Calibri"/>
                <w:sz w:val="22"/>
              </w:rPr>
              <w:t>+170bps</w:t>
            </w:r>
          </w:p>
        </w:tc>
        <w:tc>
          <w:tcPr>
            <w:tcW w:type="dxa" w:w="1728"/>
          </w:tcPr>
          <w:p>
            <w:r>
              <w:rPr>
                <w:rFonts w:ascii="Calibri" w:hAnsi="Calibri"/>
                <w:b/>
                <w:color w:val="30A46C"/>
                <w:sz w:val="22"/>
              </w:rPr>
              <w:t>Beat</w:t>
            </w:r>
          </w:p>
        </w:tc>
      </w:tr>
      <w:tr>
        <w:tc>
          <w:tcPr>
            <w:tcW w:type="dxa" w:w="1728"/>
          </w:tcPr>
          <w:p>
            <w:r>
              <w:rPr>
                <w:rFonts w:ascii="Calibri" w:hAnsi="Calibri"/>
                <w:sz w:val="22"/>
              </w:rPr>
              <w:t>Q1 2026</w:t>
            </w:r>
          </w:p>
        </w:tc>
        <w:tc>
          <w:tcPr>
            <w:tcW w:type="dxa" w:w="1728"/>
          </w:tcPr>
          <w:p>
            <w:r>
              <w:rPr>
                <w:rFonts w:ascii="Calibri" w:hAnsi="Calibri"/>
                <w:sz w:val="22"/>
              </w:rPr>
              <w:t>+8.0%</w:t>
            </w:r>
          </w:p>
        </w:tc>
        <w:tc>
          <w:tcPr>
            <w:tcW w:type="dxa" w:w="1728"/>
          </w:tcPr>
          <w:p>
            <w:r>
              <w:rPr>
                <w:rFonts w:ascii="Calibri" w:hAnsi="Calibri"/>
                <w:sz w:val="22"/>
              </w:rPr>
              <w:t>+5.4%</w:t>
            </w:r>
          </w:p>
        </w:tc>
        <w:tc>
          <w:tcPr>
            <w:tcW w:type="dxa" w:w="1728"/>
          </w:tcPr>
          <w:p>
            <w:r>
              <w:rPr>
                <w:rFonts w:ascii="Calibri" w:hAnsi="Calibri"/>
                <w:sz w:val="22"/>
              </w:rPr>
              <w:t>+260bps</w:t>
            </w:r>
          </w:p>
        </w:tc>
        <w:tc>
          <w:tcPr>
            <w:tcW w:type="dxa" w:w="1728"/>
          </w:tcPr>
          <w:p>
            <w:r>
              <w:rPr>
                <w:rFonts w:ascii="Calibri" w:hAnsi="Calibri"/>
                <w:b/>
                <w:color w:val="30A46C"/>
                <w:sz w:val="22"/>
              </w:rPr>
              <w:t>Beat</w:t>
            </w:r>
          </w:p>
        </w:tc>
      </w:tr>
    </w:tbl>
    <w:p>
      <w:r>
        <w:rPr>
          <w:rFonts w:ascii="Calibri" w:hAnsi="Calibri"/>
          <w:b/>
          <w:color w:val="525866"/>
          <w:sz w:val="22"/>
        </w:rPr>
        <w:t xml:space="preserve">Pattern: </w:t>
      </w:r>
      <w:r>
        <w:rPr>
          <w:rFonts w:ascii="Calibri" w:hAnsi="Calibri"/>
          <w:color w:val="525866"/>
          <w:sz w:val="22"/>
        </w:rPr>
        <w:t>Taco Bell SSS has beaten consensus in 7 of the last 8 quarters, with beats accelerating in magnitude over the trailing four quarters (avg. +178bps beat). The lone miss was Q2 2025 (-110bps), which sets up a favorable base-effect comparison for Q2 2026. 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 xml:space="preserve">Guidance has been meaningfully upgraded since last earnings — Taco Bell U.S. restaurant-level margin guidance was raised to 24.5%–25.5% (from prior range), and management's tone shifted to explicitly more confident on both top-line and margin; </w:t>
      </w:r>
      <w:r>
        <w:rPr>
          <w:rFonts w:ascii="Calibri" w:hAnsi="Calibri"/>
          <w:b/>
          <w:color w:val="525866"/>
          <w:sz w:val="22"/>
        </w:rPr>
        <w:t>no guidance has been lowered</w:t>
      </w:r>
      <w:r>
        <w:rPr>
          <w:rFonts w:ascii="Calibri" w:hAnsi="Calibri"/>
          <w:color w:val="525866"/>
          <w:sz w:val="22"/>
        </w:rPr>
        <w:t xml:space="preserve"> since the Q1 2026 print, and the Pizza Hut divestiture announcement on June 16 adds a capital return catalyst not previously in guidance.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Pr>
                <w:rFonts w:ascii="Calibri" w:hAnsi="Calibri"/>
                <w:b/>
                <w:sz w:val="22"/>
              </w:rPr>
              <w:t>Metric</w:t>
            </w:r>
          </w:p>
        </w:tc>
        <w:tc>
          <w:tcPr>
            <w:tcW w:type="dxa" w:w="1728"/>
          </w:tcPr>
          <w:p>
            <w:r>
              <w:rPr>
                <w:rFonts w:ascii="Calibri" w:hAnsi="Calibri"/>
                <w:b/>
                <w:sz w:val="22"/>
              </w:rPr>
              <w:t>Initial Guidance (Q1 2026 Earnings Call, Apr 29)</w:t>
            </w:r>
          </w:p>
        </w:tc>
        <w:tc>
          <w:tcPr>
            <w:tcW w:type="dxa" w:w="1728"/>
          </w:tcPr>
          <w:p>
            <w:r>
              <w:rPr>
                <w:rFonts w:ascii="Calibri" w:hAnsi="Calibri"/>
                <w:b/>
                <w:sz w:val="22"/>
              </w:rPr>
              <w:t>Revised Guidance</w:t>
            </w:r>
          </w:p>
        </w:tc>
        <w:tc>
          <w:tcPr>
            <w:tcW w:type="dxa" w:w="1728"/>
          </w:tcPr>
          <w:p>
            <w:r>
              <w:rPr>
                <w:rFonts w:ascii="Calibri" w:hAnsi="Calibri"/>
                <w:b/>
                <w:sz w:val="22"/>
              </w:rPr>
              <w:t>Current Consensus</w:t>
            </w:r>
          </w:p>
        </w:tc>
        <w:tc>
          <w:tcPr>
            <w:tcW w:type="dxa" w:w="1728"/>
          </w:tcPr>
          <w:p>
            <w:r>
              <w:rPr>
                <w:rFonts w:ascii="Calibri" w:hAnsi="Calibri"/>
                <w:b/>
                <w:sz w:val="22"/>
              </w:rPr>
              <w:t>Note</w:t>
            </w:r>
          </w:p>
        </w:tc>
      </w:tr>
      <w:tr>
        <w:tc>
          <w:tcPr>
            <w:tcW w:type="dxa" w:w="1728"/>
          </w:tcPr>
          <w:p>
            <w:r>
              <w:rPr>
                <w:rFonts w:ascii="Calibri" w:hAnsi="Calibri"/>
                <w:sz w:val="22"/>
              </w:rPr>
              <w:t>Taco Bell U.S. Restaurant-Level Margin</w:t>
            </w:r>
          </w:p>
        </w:tc>
        <w:tc>
          <w:tcPr>
            <w:tcW w:type="dxa" w:w="1728"/>
          </w:tcPr>
          <w:p>
            <w:r>
              <w:rPr>
                <w:rFonts w:ascii="Calibri" w:hAnsi="Calibri"/>
                <w:sz w:val="22"/>
              </w:rPr>
              <w:t>24.5%–25.5% (raised on Q1 call from prior guidance)</w:t>
            </w:r>
          </w:p>
        </w:tc>
        <w:tc>
          <w:tcPr>
            <w:tcW w:type="dxa" w:w="1728"/>
          </w:tcPr>
          <w:p>
            <w:r>
              <w:rPr>
                <w:rFonts w:ascii="Calibri" w:hAnsi="Calibri"/>
                <w:sz w:val="22"/>
              </w:rPr>
              <w:t>—</w:t>
            </w:r>
          </w:p>
        </w:tc>
        <w:tc>
          <w:tcPr>
            <w:tcW w:type="dxa" w:w="1728"/>
          </w:tcPr>
          <w:p>
            <w:r>
              <w:rPr>
                <w:rFonts w:ascii="Calibri" w:hAnsi="Calibri"/>
                <w:sz w:val="22"/>
              </w:rPr>
              <w:t>25.2% (Q2 2026 consensus)</w:t>
            </w:r>
          </w:p>
        </w:tc>
        <w:tc>
          <w:tcPr>
            <w:tcW w:type="dxa" w:w="1728"/>
          </w:tcPr>
          <w:p>
            <w:r>
              <w:rPr>
                <w:rFonts w:ascii="Calibri" w:hAnsi="Calibri"/>
                <w:sz w:val="22"/>
              </w:rPr>
              <w:t>↑ Raised on Q1 call; management cited better top-line momentum and higher margins from acquired Taco Bell stores; more confident tone</w:t>
            </w:r>
          </w:p>
        </w:tc>
      </w:tr>
      <w:tr>
        <w:tc>
          <w:tcPr>
            <w:tcW w:type="dxa" w:w="1728"/>
          </w:tcPr>
          <w:p>
            <w:r>
              <w:rPr>
                <w:rFonts w:ascii="Calibri" w:hAnsi="Calibri"/>
                <w:sz w:val="22"/>
              </w:rPr>
              <w:t>FY 2026 Core Operating Profit Growth (ex-Pizza Hut)</w:t>
            </w:r>
          </w:p>
        </w:tc>
        <w:tc>
          <w:tcPr>
            <w:tcW w:type="dxa" w:w="1728"/>
          </w:tcPr>
          <w:p>
            <w:r>
              <w:rPr>
                <w:rFonts w:ascii="Calibri" w:hAnsi="Calibri"/>
                <w:sz w:val="22"/>
              </w:rPr>
              <w:t>Meet or exceed 8% long-term algorithm</w:t>
            </w:r>
          </w:p>
        </w:tc>
        <w:tc>
          <w:tcPr>
            <w:tcW w:type="dxa" w:w="1728"/>
          </w:tcPr>
          <w:p>
            <w:r>
              <w:rPr>
                <w:rFonts w:ascii="Calibri" w:hAnsi="Calibri"/>
                <w:sz w:val="22"/>
              </w:rPr>
              <w:t>—</w:t>
            </w:r>
          </w:p>
        </w:tc>
        <w:tc>
          <w:tcPr>
            <w:tcW w:type="dxa" w:w="1728"/>
          </w:tcPr>
          <w:p>
            <w:r>
              <w:rPr>
                <w:rFonts w:ascii="Calibri" w:hAnsi="Calibri"/>
                <w:sz w:val="22"/>
              </w:rPr>
              <w:t>Tracking above (double-digit ex-PH in Q1)</w:t>
            </w:r>
          </w:p>
        </w:tc>
        <w:tc>
          <w:tcPr>
            <w:tcW w:type="dxa" w:w="1728"/>
          </w:tcPr>
          <w:p>
            <w:r>
              <w:rPr>
                <w:rFonts w:ascii="Calibri" w:hAnsi="Calibri"/>
                <w:sz w:val="22"/>
              </w:rPr>
              <w:t>Unchanged; management "very confident" in meeting or exceeding each component of LT growth algorithm ex-PH</w:t>
            </w:r>
          </w:p>
        </w:tc>
      </w:tr>
      <w:tr>
        <w:tc>
          <w:tcPr>
            <w:tcW w:type="dxa" w:w="1728"/>
          </w:tcPr>
          <w:p>
            <w:r>
              <w:rPr>
                <w:rFonts w:ascii="Calibri" w:hAnsi="Calibri"/>
                <w:sz w:val="22"/>
              </w:rPr>
              <w:t>FY 2026 G&amp;A Growth (ex-special, ex-Pizza Hut)</w:t>
            </w:r>
          </w:p>
        </w:tc>
        <w:tc>
          <w:tcPr>
            <w:tcW w:type="dxa" w:w="1728"/>
          </w:tcPr>
          <w:p>
            <w:r>
              <w:rPr>
                <w:rFonts w:ascii="Calibri" w:hAnsi="Calibri"/>
                <w:sz w:val="22"/>
              </w:rPr>
              <w:t>Up mid-single digits</w:t>
            </w:r>
          </w:p>
        </w:tc>
        <w:tc>
          <w:tcPr>
            <w:tcW w:type="dxa" w:w="1728"/>
          </w:tcPr>
          <w:p>
            <w:r>
              <w:rPr>
                <w:rFonts w:ascii="Calibri" w:hAnsi="Calibri"/>
                <w:sz w:val="22"/>
              </w:rPr>
              <w:t>—</w:t>
            </w:r>
          </w:p>
        </w:tc>
        <w:tc>
          <w:tcPr>
            <w:tcW w:type="dxa" w:w="1728"/>
          </w:tcPr>
          <w:p>
            <w:r>
              <w:rPr>
                <w:rFonts w:ascii="Calibri" w:hAnsi="Calibri"/>
                <w:sz w:val="22"/>
              </w:rPr>
              <w:t>N/A — not separately tracked in consensus</w:t>
            </w:r>
          </w:p>
        </w:tc>
        <w:tc>
          <w:tcPr>
            <w:tcW w:type="dxa" w:w="1728"/>
          </w:tcPr>
          <w:p>
            <w:r>
              <w:rPr>
                <w:rFonts w:ascii="Calibri" w:hAnsi="Calibri"/>
                <w:sz w:val="22"/>
              </w:rPr>
              <w:t>Unchanged; Q2 G&amp;A expected high single-digit growth YoY due to timing of project spend</w:t>
            </w:r>
          </w:p>
        </w:tc>
      </w:tr>
      <w:tr>
        <w:tc>
          <w:tcPr>
            <w:tcW w:type="dxa" w:w="1728"/>
          </w:tcPr>
          <w:p>
            <w:r>
              <w:rPr>
                <w:rFonts w:ascii="Calibri" w:hAnsi="Calibri"/>
                <w:sz w:val="22"/>
              </w:rPr>
              <w:t>FY 2026 Interest Expense</w:t>
            </w:r>
          </w:p>
        </w:tc>
        <w:tc>
          <w:tcPr>
            <w:tcW w:type="dxa" w:w="1728"/>
          </w:tcPr>
          <w:p>
            <w:r>
              <w:rPr>
                <w:rFonts w:ascii="Calibri" w:hAnsi="Calibri"/>
                <w:sz w:val="22"/>
              </w:rPr>
              <w:t>$510M–$520M (excl. potential new debt issuances)</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Pizza Hut proceeds ($2.69B) may alter capital structure post-close</w:t>
            </w:r>
          </w:p>
        </w:tc>
      </w:tr>
      <w:tr>
        <w:tc>
          <w:tcPr>
            <w:tcW w:type="dxa" w:w="1728"/>
          </w:tcPr>
          <w:p>
            <w:r>
              <w:rPr>
                <w:rFonts w:ascii="Calibri" w:hAnsi="Calibri"/>
                <w:sz w:val="22"/>
              </w:rPr>
              <w:t>Pizza Hut Strategic Review</w:t>
            </w:r>
          </w:p>
        </w:tc>
        <w:tc>
          <w:tcPr>
            <w:tcW w:type="dxa" w:w="1728"/>
          </w:tcPr>
          <w:p>
            <w:r>
              <w:rPr>
                <w:rFonts w:ascii="Calibri" w:hAnsi="Calibri"/>
                <w:sz w:val="22"/>
              </w:rPr>
              <w:t>"On track to complete review in 2026"</w:t>
            </w:r>
          </w:p>
        </w:tc>
        <w:tc>
          <w:tcPr>
            <w:tcW w:type="dxa" w:w="1728"/>
          </w:tcPr>
          <w:p>
            <w:r>
              <w:rPr>
                <w:rFonts w:ascii="Calibri" w:hAnsi="Calibri"/>
                <w:sz w:val="22"/>
              </w:rPr>
              <w:t>Definitive sale agreement signed June 16, 2026 ($2.69B total; LongRange Capital + Yum China); close expected Q3 2026</w:t>
            </w:r>
          </w:p>
        </w:tc>
        <w:tc>
          <w:tcPr>
            <w:tcW w:type="dxa" w:w="1728"/>
          </w:tcPr>
          <w:p>
            <w:r>
              <w:rPr>
                <w:rFonts w:ascii="Calibri" w:hAnsi="Calibri"/>
                <w:sz w:val="22"/>
              </w:rPr>
              <w:t>N/A — transaction pending</w:t>
            </w:r>
          </w:p>
        </w:tc>
        <w:tc>
          <w:tcPr>
            <w:tcW w:type="dxa" w:w="1728"/>
          </w:tcPr>
          <w:p>
            <w:r>
              <w:rPr>
                <w:rFonts w:ascii="Calibri" w:hAnsi="Calibri"/>
                <w:sz w:val="22"/>
              </w:rPr>
              <w:t>↑ Resolved June 16 via 8-K; $4B incremental buyback authorized; management framed as "fantastic" outcome freeing resources for KFC and Taco Bell</w:t>
            </w:r>
          </w:p>
        </w:tc>
      </w:tr>
      <w:tr>
        <w:tc>
          <w:tcPr>
            <w:tcW w:type="dxa" w:w="1728"/>
          </w:tcPr>
          <w:p>
            <w:r>
              <w:rPr>
                <w:rFonts w:ascii="Calibri" w:hAnsi="Calibri"/>
                <w:sz w:val="22"/>
              </w:rPr>
              <w:t>KFC Unit Development Outlook</w:t>
            </w:r>
          </w:p>
        </w:tc>
        <w:tc>
          <w:tcPr>
            <w:tcW w:type="dxa" w:w="1728"/>
          </w:tcPr>
          <w:p>
            <w:r>
              <w:rPr>
                <w:rFonts w:ascii="Calibri" w:hAnsi="Calibri"/>
                <w:sz w:val="22"/>
              </w:rPr>
              <w:t>No change to full-year outlook; Middle East &lt;150 units in pipeline (mid-single-digit % of KFC dev. plan)</w:t>
            </w:r>
          </w:p>
        </w:tc>
        <w:tc>
          <w:tcPr>
            <w:tcW w:type="dxa" w:w="1728"/>
          </w:tcPr>
          <w:p>
            <w:r>
              <w:rPr>
                <w:rFonts w:ascii="Calibri" w:hAnsi="Calibri"/>
                <w:sz w:val="22"/>
              </w:rPr>
              <w:t>—</w:t>
            </w:r>
          </w:p>
        </w:tc>
        <w:tc>
          <w:tcPr>
            <w:tcW w:type="dxa" w:w="1728"/>
          </w:tcPr>
          <w:p>
            <w:r>
              <w:rPr>
                <w:rFonts w:ascii="Calibri" w:hAnsi="Calibri"/>
                <w:sz w:val="22"/>
              </w:rPr>
              <w:t>FY 2026 net additions consensus: ~2,946 (ex-PH distortion)</w:t>
            </w:r>
          </w:p>
        </w:tc>
        <w:tc>
          <w:tcPr>
            <w:tcW w:type="dxa" w:w="1728"/>
          </w:tcPr>
          <w:p>
            <w:r>
              <w:rPr>
                <w:rFonts w:ascii="Calibri" w:hAnsi="Calibri"/>
                <w:sz w:val="22"/>
              </w:rPr>
              <w:t>Unchanged; management "confident in global KFC unit development this year and beyond"</w:t>
            </w:r>
          </w:p>
        </w:tc>
      </w:tr>
      <w:tr>
        <w:tc>
          <w:tcPr>
            <w:tcW w:type="dxa" w:w="1728"/>
          </w:tcPr>
          <w:p>
            <w:r>
              <w:rPr>
                <w:rFonts w:ascii="Calibri" w:hAnsi="Calibri"/>
                <w:sz w:val="22"/>
              </w:rPr>
              <w:t>Share Repurchase Authorization</w:t>
            </w:r>
          </w:p>
        </w:tc>
        <w:tc>
          <w:tcPr>
            <w:tcW w:type="dxa" w:w="1728"/>
          </w:tcPr>
          <w:p>
            <w:r>
              <w:rPr>
                <w:rFonts w:ascii="Calibri" w:hAnsi="Calibri"/>
                <w:sz w:val="22"/>
              </w:rPr>
              <w:t>~$400M remaining under existing program (expires Dec 31, 2026)</w:t>
            </w:r>
          </w:p>
        </w:tc>
        <w:tc>
          <w:tcPr>
            <w:tcW w:type="dxa" w:w="1728"/>
          </w:tcPr>
          <w:p>
            <w:r>
              <w:rPr>
                <w:rFonts w:ascii="Calibri" w:hAnsi="Calibri"/>
                <w:sz w:val="22"/>
              </w:rPr>
              <w:t>New $4.0B authorization approved June 16, 2026 (effective through June 30, 2028)</w:t>
            </w:r>
          </w:p>
        </w:tc>
        <w:tc>
          <w:tcPr>
            <w:tcW w:type="dxa" w:w="1728"/>
          </w:tcPr>
          <w:p>
            <w:r>
              <w:rPr>
                <w:rFonts w:ascii="Calibri" w:hAnsi="Calibri"/>
                <w:sz w:val="22"/>
              </w:rPr>
              <w:t>N/A</w:t>
            </w:r>
          </w:p>
        </w:tc>
        <w:tc>
          <w:tcPr>
            <w:tcW w:type="dxa" w:w="1728"/>
          </w:tcPr>
          <w:p>
            <w:r>
              <w:rPr>
                <w:rFonts w:ascii="Calibri" w:hAnsi="Calibri"/>
                <w:sz w:val="22"/>
              </w:rPr>
              <w:t>↑ Significantly expanded June 16 via 8-K; funded by Pizza Hut divestiture proceeds</w:t>
            </w:r>
          </w:p>
        </w:tc>
      </w:tr>
    </w:tbl>
    <w:p>
      <w:r>
        <w:br w:type="page"/>
      </w:r>
    </w:p>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 xml:space="preserve">Q2 2026 EPS estimates have risen meaningfully since the Q1 print (+13.3%, from $1.38 to $1.56), reflecting the strong Q1 beat and raised Taco Bell margin guidance; </w:t>
      </w:r>
      <w:r>
        <w:rPr>
          <w:rFonts w:ascii="Calibri" w:hAnsi="Calibri"/>
          <w:b/>
          <w:color w:val="525866"/>
          <w:sz w:val="22"/>
        </w:rPr>
        <w:t>FY 2026 EPS estimates are also up +1.0%</w:t>
      </w:r>
      <w:r>
        <w:rPr>
          <w:rFonts w:ascii="Calibri" w:hAnsi="Calibri"/>
          <w:color w:val="525866"/>
          <w:sz w:val="22"/>
        </w:rPr>
        <w:t xml:space="preserve"> since the post-print baseline, suggesting the street is gradually upgrading the full-year view — estimates are tracking with (or slightly ahead of) guidance, representing modest cushion rather than risk.</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rFonts w:ascii="Calibri" w:hAnsi="Calibri"/>
                <w:b/>
                <w:sz w:val="22"/>
              </w:rPr>
              <w:t>KPI (Period)</w:t>
            </w:r>
          </w:p>
        </w:tc>
        <w:tc>
          <w:tcPr>
            <w:tcW w:type="dxa" w:w="1080"/>
          </w:tcPr>
          <w:p>
            <w:r>
              <w:rPr>
                <w:rFonts w:ascii="Calibri" w:hAnsi="Calibri"/>
                <w:b/>
                <w:sz w:val="22"/>
              </w:rPr>
              <w:t>Estimate (May 5, 2026 — ~5 Days Post Q1 Print)</w:t>
            </w:r>
          </w:p>
        </w:tc>
        <w:tc>
          <w:tcPr>
            <w:tcW w:type="dxa" w:w="1080"/>
          </w:tcPr>
          <w:p>
            <w:r>
              <w:rPr>
                <w:rFonts w:ascii="Calibri" w:hAnsi="Calibri"/>
                <w:b/>
                <w:sz w:val="22"/>
              </w:rPr>
              <w:t>Current Consensus (Jul 29, 2026)</w:t>
            </w:r>
          </w:p>
        </w:tc>
        <w:tc>
          <w:tcPr>
            <w:tcW w:type="dxa" w:w="1080"/>
          </w:tcPr>
          <w:p>
            <w:r>
              <w:rPr>
                <w:rFonts w:ascii="Calibri" w:hAnsi="Calibri"/>
                <w:b/>
                <w:sz w:val="22"/>
              </w:rPr>
              <w:t>Estimate Δ (%)</w:t>
            </w:r>
          </w:p>
        </w:tc>
        <w:tc>
          <w:tcPr>
            <w:tcW w:type="dxa" w:w="1080"/>
          </w:tcPr>
          <w:p>
            <w:r>
              <w:rPr>
                <w:rFonts w:ascii="Calibri" w:hAnsi="Calibri"/>
                <w:b/>
                <w:sz w:val="22"/>
              </w:rPr>
              <w:t>Initial Guidance (Q1 2026 Call)</w:t>
            </w:r>
          </w:p>
        </w:tc>
        <w:tc>
          <w:tcPr>
            <w:tcW w:type="dxa" w:w="1080"/>
          </w:tcPr>
          <w:p>
            <w:r>
              <w:rPr>
                <w:rFonts w:ascii="Calibri" w:hAnsi="Calibri"/>
                <w:b/>
                <w:sz w:val="22"/>
              </w:rPr>
              <w:t>Current Guidance</w:t>
            </w:r>
          </w:p>
        </w:tc>
        <w:tc>
          <w:tcPr>
            <w:tcW w:type="dxa" w:w="1080"/>
          </w:tcPr>
          <w:p>
            <w:r>
              <w:rPr>
                <w:rFonts w:ascii="Calibri" w:hAnsi="Calibri"/>
                <w:b/>
                <w:sz w:val="22"/>
              </w:rPr>
              <w:t>Guidance Δ</w:t>
            </w:r>
          </w:p>
        </w:tc>
        <w:tc>
          <w:tcPr>
            <w:tcW w:type="dxa" w:w="1080"/>
          </w:tcPr>
          <w:p>
            <w:r>
              <w:rPr>
                <w:rFonts w:ascii="Calibri" w:hAnsi="Calibri"/>
                <w:b/>
                <w:sz w:val="22"/>
              </w:rPr>
              <w:t>Consensus vs. Guidance (%)</w:t>
            </w:r>
          </w:p>
        </w:tc>
      </w:tr>
      <w:tr>
        <w:tc>
          <w:tcPr>
            <w:tcW w:type="dxa" w:w="1080"/>
          </w:tcPr>
          <w:p>
            <w:r>
              <w:rPr>
                <w:rFonts w:ascii="Calibri" w:hAnsi="Calibri"/>
                <w:sz w:val="22"/>
              </w:rPr>
              <w:t>EPS — Diluted Operating (Q2 2026)</w:t>
            </w:r>
          </w:p>
        </w:tc>
        <w:tc>
          <w:tcPr>
            <w:tcW w:type="dxa" w:w="1080"/>
          </w:tcPr>
          <w:p>
            <w:r>
              <w:rPr>
                <w:rFonts w:ascii="Calibri" w:hAnsi="Calibri"/>
                <w:sz w:val="22"/>
              </w:rPr>
              <w:t>$1.38</w:t>
            </w:r>
          </w:p>
        </w:tc>
        <w:tc>
          <w:tcPr>
            <w:tcW w:type="dxa" w:w="1080"/>
          </w:tcPr>
          <w:p>
            <w:r>
              <w:rPr>
                <w:rFonts w:ascii="Calibri" w:hAnsi="Calibri"/>
                <w:sz w:val="22"/>
              </w:rPr>
              <w:t>$1.56</w:t>
            </w:r>
          </w:p>
        </w:tc>
        <w:tc>
          <w:tcPr>
            <w:tcW w:type="dxa" w:w="1080"/>
          </w:tcPr>
          <w:p>
            <w:r>
              <w:rPr>
                <w:rFonts w:ascii="Calibri" w:hAnsi="Calibri"/>
                <w:b/>
                <w:color w:val="30A46C"/>
                <w:sz w:val="22"/>
              </w:rPr>
              <w:t>+13.3%</w:t>
            </w:r>
          </w:p>
        </w:tc>
        <w:tc>
          <w:tcPr>
            <w:tcW w:type="dxa" w:w="1080"/>
          </w:tcPr>
          <w:p>
            <w:r>
              <w:rPr>
                <w:rFonts w:ascii="Calibri" w:hAnsi="Calibri"/>
                <w:sz w:val="22"/>
              </w:rPr>
              <w:t>Meet/exceed LT algorithm ex-PH</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Tracking above</w:t>
            </w:r>
          </w:p>
        </w:tc>
      </w:tr>
      <w:tr>
        <w:tc>
          <w:tcPr>
            <w:tcW w:type="dxa" w:w="1080"/>
          </w:tcPr>
          <w:p>
            <w:r>
              <w:rPr>
                <w:rFonts w:ascii="Calibri" w:hAnsi="Calibri"/>
                <w:sz w:val="22"/>
              </w:rPr>
              <w:t>EPS — Diluted Operating (FY 2026)</w:t>
            </w:r>
          </w:p>
        </w:tc>
        <w:tc>
          <w:tcPr>
            <w:tcW w:type="dxa" w:w="1080"/>
          </w:tcPr>
          <w:p>
            <w:r>
              <w:rPr>
                <w:rFonts w:ascii="Calibri" w:hAnsi="Calibri"/>
                <w:sz w:val="22"/>
              </w:rPr>
              <w:t>$6.77</w:t>
            </w:r>
          </w:p>
        </w:tc>
        <w:tc>
          <w:tcPr>
            <w:tcW w:type="dxa" w:w="1080"/>
          </w:tcPr>
          <w:p>
            <w:r>
              <w:rPr>
                <w:rFonts w:ascii="Calibri" w:hAnsi="Calibri"/>
                <w:sz w:val="22"/>
              </w:rPr>
              <w:t>$6.70</w:t>
            </w:r>
          </w:p>
        </w:tc>
        <w:tc>
          <w:tcPr>
            <w:tcW w:type="dxa" w:w="1080"/>
          </w:tcPr>
          <w:p>
            <w:r>
              <w:rPr>
                <w:rFonts w:ascii="Calibri" w:hAnsi="Calibri"/>
                <w:b/>
                <w:color w:val="E5484D"/>
                <w:sz w:val="22"/>
              </w:rPr>
              <w:t>-1.0%</w:t>
            </w:r>
          </w:p>
        </w:tc>
        <w:tc>
          <w:tcPr>
            <w:tcW w:type="dxa" w:w="1080"/>
          </w:tcPr>
          <w:p>
            <w:r>
              <w:rPr>
                <w:rFonts w:ascii="Calibri" w:hAnsi="Calibri"/>
                <w:sz w:val="22"/>
              </w:rPr>
              <w:t>Meet/exceed LT algorithm ex-PH</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Slight downward drift; PH divestiture accounting noise</w:t>
            </w:r>
          </w:p>
        </w:tc>
      </w:tr>
      <w:tr>
        <w:tc>
          <w:tcPr>
            <w:tcW w:type="dxa" w:w="1080"/>
          </w:tcPr>
          <w:p>
            <w:r>
              <w:rPr>
                <w:rFonts w:ascii="Calibri" w:hAnsi="Calibri"/>
                <w:sz w:val="22"/>
              </w:rPr>
              <w:t>Total Revenues (Q2 2026, $B)</w:t>
            </w:r>
          </w:p>
        </w:tc>
        <w:tc>
          <w:tcPr>
            <w:tcW w:type="dxa" w:w="1080"/>
          </w:tcPr>
          <w:p>
            <w:r>
              <w:rPr>
                <w:rFonts w:ascii="Calibri" w:hAnsi="Calibri"/>
                <w:sz w:val="22"/>
              </w:rPr>
              <w:t>$2.196B</w:t>
            </w:r>
          </w:p>
        </w:tc>
        <w:tc>
          <w:tcPr>
            <w:tcW w:type="dxa" w:w="1080"/>
          </w:tcPr>
          <w:p>
            <w:r>
              <w:rPr>
                <w:rFonts w:ascii="Calibri" w:hAnsi="Calibri"/>
                <w:sz w:val="22"/>
              </w:rPr>
              <w:t>$2.177B</w:t>
            </w:r>
          </w:p>
        </w:tc>
        <w:tc>
          <w:tcPr>
            <w:tcW w:type="dxa" w:w="1080"/>
          </w:tcPr>
          <w:p>
            <w:r>
              <w:rPr>
                <w:rFonts w:ascii="Calibri" w:hAnsi="Calibri"/>
                <w:sz w:val="22"/>
              </w:rPr>
              <w:t>-0.9%</w:t>
            </w:r>
          </w:p>
        </w:tc>
        <w:tc>
          <w:tcPr>
            <w:tcW w:type="dxa" w:w="1080"/>
          </w:tcPr>
          <w:p>
            <w:r>
              <w:rPr>
                <w:rFonts w:ascii="Calibri" w:hAnsi="Calibri"/>
                <w:sz w:val="22"/>
              </w:rPr>
              <w:t>N/A (no specific revenue guidance)</w:t>
            </w:r>
          </w:p>
        </w:tc>
        <w:tc>
          <w:tcPr>
            <w:tcW w:type="dxa" w:w="1080"/>
          </w:tcPr>
          <w:p>
            <w:r>
              <w:rPr>
                <w:rFonts w:ascii="Calibri" w:hAnsi="Calibri"/>
                <w:sz w:val="22"/>
              </w:rPr>
              <w:t>N/A</w:t>
            </w:r>
          </w:p>
        </w:tc>
        <w:tc>
          <w:tcPr>
            <w:tcW w:type="dxa" w:w="1080"/>
          </w:tcPr>
          <w:p>
            <w:r>
              <w:rPr>
                <w:rFonts w:ascii="Calibri" w:hAnsi="Calibri"/>
                <w:sz w:val="22"/>
              </w:rPr>
              <w:t>—</w:t>
            </w:r>
          </w:p>
        </w:tc>
        <w:tc>
          <w:tcPr>
            <w:tcW w:type="dxa" w:w="1080"/>
          </w:tcPr>
          <w:p>
            <w:r>
              <w:rPr>
                <w:rFonts w:ascii="Calibri" w:hAnsi="Calibri"/>
                <w:sz w:val="22"/>
              </w:rPr>
              <w:t>N/A</w:t>
            </w:r>
          </w:p>
        </w:tc>
      </w:tr>
      <w:tr>
        <w:tc>
          <w:tcPr>
            <w:tcW w:type="dxa" w:w="1080"/>
          </w:tcPr>
          <w:p>
            <w:r>
              <w:rPr>
                <w:rFonts w:ascii="Calibri" w:hAnsi="Calibri"/>
                <w:sz w:val="22"/>
              </w:rPr>
              <w:t>Total Revenues (FY 2026, $B)</w:t>
            </w:r>
          </w:p>
        </w:tc>
        <w:tc>
          <w:tcPr>
            <w:tcW w:type="dxa" w:w="1080"/>
          </w:tcPr>
          <w:p>
            <w:r>
              <w:rPr>
                <w:rFonts w:ascii="Calibri" w:hAnsi="Calibri"/>
                <w:sz w:val="22"/>
              </w:rPr>
              <w:t>$9.202B</w:t>
            </w:r>
          </w:p>
        </w:tc>
        <w:tc>
          <w:tcPr>
            <w:tcW w:type="dxa" w:w="1080"/>
          </w:tcPr>
          <w:p>
            <w:r>
              <w:rPr>
                <w:rFonts w:ascii="Calibri" w:hAnsi="Calibri"/>
                <w:sz w:val="22"/>
              </w:rPr>
              <w:t>$9.092B</w:t>
            </w:r>
          </w:p>
        </w:tc>
        <w:tc>
          <w:tcPr>
            <w:tcW w:type="dxa" w:w="1080"/>
          </w:tcPr>
          <w:p>
            <w:r>
              <w:rPr>
                <w:rFonts w:ascii="Calibri" w:hAnsi="Calibri"/>
                <w:sz w:val="22"/>
              </w:rPr>
              <w:t>-1.2%</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w:t>
            </w:r>
          </w:p>
        </w:tc>
        <w:tc>
          <w:tcPr>
            <w:tcW w:type="dxa" w:w="1080"/>
          </w:tcPr>
          <w:p>
            <w:r>
              <w:rPr>
                <w:rFonts w:ascii="Calibri" w:hAnsi="Calibri"/>
                <w:sz w:val="22"/>
              </w:rPr>
              <w:t>Slight downward drift; PH divestiture removes revenue</w:t>
            </w:r>
          </w:p>
        </w:tc>
      </w:tr>
      <w:tr>
        <w:tc>
          <w:tcPr>
            <w:tcW w:type="dxa" w:w="1080"/>
          </w:tcPr>
          <w:p>
            <w:r>
              <w:rPr>
                <w:rFonts w:ascii="Calibri" w:hAnsi="Calibri"/>
                <w:sz w:val="22"/>
              </w:rPr>
              <w:t>SSS — Taco Bell (Q2 2026, %)</w:t>
            </w:r>
          </w:p>
        </w:tc>
        <w:tc>
          <w:tcPr>
            <w:tcW w:type="dxa" w:w="1080"/>
          </w:tcPr>
          <w:p>
            <w:r>
              <w:rPr>
                <w:rFonts w:ascii="Calibri" w:hAnsi="Calibri"/>
                <w:sz w:val="22"/>
              </w:rPr>
              <w:t>+7.2%</w:t>
            </w:r>
          </w:p>
        </w:tc>
        <w:tc>
          <w:tcPr>
            <w:tcW w:type="dxa" w:w="1080"/>
          </w:tcPr>
          <w:p>
            <w:r>
              <w:rPr>
                <w:rFonts w:ascii="Calibri" w:hAnsi="Calibri"/>
                <w:sz w:val="22"/>
              </w:rPr>
              <w:t>+6.5%</w:t>
            </w:r>
          </w:p>
        </w:tc>
        <w:tc>
          <w:tcPr>
            <w:tcW w:type="dxa" w:w="1080"/>
          </w:tcPr>
          <w:p>
            <w:r>
              <w:rPr>
                <w:rFonts w:ascii="Calibri" w:hAnsi="Calibri"/>
                <w:sz w:val="22"/>
              </w:rPr>
              <w:t>-70bps</w:t>
            </w:r>
          </w:p>
        </w:tc>
        <w:tc>
          <w:tcPr>
            <w:tcW w:type="dxa" w:w="1080"/>
          </w:tcPr>
          <w:p>
            <w:r>
              <w:rPr>
                <w:rFonts w:ascii="Calibri" w:hAnsi="Calibri"/>
                <w:sz w:val="22"/>
              </w:rPr>
              <w:t>Continued momentum (raised confidence)</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Slight moderation from initial post-print estimate; still above historical avg.</w:t>
            </w:r>
          </w:p>
        </w:tc>
      </w:tr>
      <w:tr>
        <w:tc>
          <w:tcPr>
            <w:tcW w:type="dxa" w:w="1080"/>
          </w:tcPr>
          <w:p>
            <w:r>
              <w:rPr>
                <w:rFonts w:ascii="Calibri" w:hAnsi="Calibri"/>
                <w:sz w:val="22"/>
              </w:rPr>
              <w:t>SSS — KFC (Q2 2026, %)</w:t>
            </w:r>
          </w:p>
        </w:tc>
        <w:tc>
          <w:tcPr>
            <w:tcW w:type="dxa" w:w="1080"/>
          </w:tcPr>
          <w:p>
            <w:r>
              <w:rPr>
                <w:rFonts w:ascii="Calibri" w:hAnsi="Calibri"/>
                <w:sz w:val="22"/>
              </w:rPr>
              <w:t>+2.0%</w:t>
            </w:r>
          </w:p>
        </w:tc>
        <w:tc>
          <w:tcPr>
            <w:tcW w:type="dxa" w:w="1080"/>
          </w:tcPr>
          <w:p>
            <w:r>
              <w:rPr>
                <w:rFonts w:ascii="Calibri" w:hAnsi="Calibri"/>
                <w:sz w:val="22"/>
              </w:rPr>
              <w:t>+2.0%</w:t>
            </w:r>
          </w:p>
        </w:tc>
        <w:tc>
          <w:tcPr>
            <w:tcW w:type="dxa" w:w="1080"/>
          </w:tcPr>
          <w:p>
            <w:r>
              <w:rPr>
                <w:rFonts w:ascii="Calibri" w:hAnsi="Calibri"/>
                <w:sz w:val="22"/>
              </w:rPr>
              <w:t>Flat</w:t>
            </w:r>
          </w:p>
        </w:tc>
        <w:tc>
          <w:tcPr>
            <w:tcW w:type="dxa" w:w="1080"/>
          </w:tcPr>
          <w:p>
            <w:r>
              <w:rPr>
                <w:rFonts w:ascii="Calibri" w:hAnsi="Calibri"/>
                <w:sz w:val="22"/>
              </w:rPr>
              <w:t>No change to outlook</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Stable; KFC U.K. strong start to Q2 (Pickle Mania menu)</w:t>
            </w:r>
          </w:p>
        </w:tc>
      </w:tr>
      <w:tr>
        <w:tc>
          <w:tcPr>
            <w:tcW w:type="dxa" w:w="1080"/>
          </w:tcPr>
          <w:p>
            <w:r>
              <w:rPr>
                <w:rFonts w:ascii="Calibri" w:hAnsi="Calibri"/>
                <w:sz w:val="22"/>
              </w:rPr>
              <w:t>Core Op. Profit — Taco Bell (Q2 2026, $M)</w:t>
            </w:r>
          </w:p>
        </w:tc>
        <w:tc>
          <w:tcPr>
            <w:tcW w:type="dxa" w:w="1080"/>
          </w:tcPr>
          <w:p>
            <w:r>
              <w:rPr>
                <w:rFonts w:ascii="Calibri" w:hAnsi="Calibri"/>
                <w:sz w:val="22"/>
              </w:rPr>
              <w:t>$313M</w:t>
            </w:r>
          </w:p>
        </w:tc>
        <w:tc>
          <w:tcPr>
            <w:tcW w:type="dxa" w:w="1080"/>
          </w:tcPr>
          <w:p>
            <w:r>
              <w:rPr>
                <w:rFonts w:ascii="Calibri" w:hAnsi="Calibri"/>
                <w:sz w:val="22"/>
              </w:rPr>
              <w:t>$312M</w:t>
            </w:r>
          </w:p>
        </w:tc>
        <w:tc>
          <w:tcPr>
            <w:tcW w:type="dxa" w:w="1080"/>
          </w:tcPr>
          <w:p>
            <w:r>
              <w:rPr>
                <w:rFonts w:ascii="Calibri" w:hAnsi="Calibri"/>
                <w:sz w:val="22"/>
              </w:rPr>
              <w:t>-0.3%</w:t>
            </w:r>
          </w:p>
        </w:tc>
        <w:tc>
          <w:tcPr>
            <w:tcW w:type="dxa" w:w="1080"/>
          </w:tcPr>
          <w:p>
            <w:r>
              <w:rPr>
                <w:rFonts w:ascii="Calibri" w:hAnsi="Calibri"/>
                <w:sz w:val="22"/>
              </w:rPr>
              <w:t>Meet/exceed LT algorithm</w:t>
            </w:r>
          </w:p>
        </w:tc>
        <w:tc>
          <w:tcPr>
            <w:tcW w:type="dxa" w:w="1080"/>
          </w:tcPr>
          <w:p>
            <w:r>
              <w:rPr>
                <w:rFonts w:ascii="Calibri" w:hAnsi="Calibri"/>
                <w:sz w:val="22"/>
              </w:rPr>
              <w:t>Unchanged</w:t>
            </w:r>
          </w:p>
        </w:tc>
        <w:tc>
          <w:tcPr>
            <w:tcW w:type="dxa" w:w="1080"/>
          </w:tcPr>
          <w:p>
            <w:r>
              <w:rPr>
                <w:rFonts w:ascii="Calibri" w:hAnsi="Calibri"/>
                <w:sz w:val="22"/>
              </w:rPr>
              <w:t>—</w:t>
            </w:r>
          </w:p>
        </w:tc>
        <w:tc>
          <w:tcPr>
            <w:tcW w:type="dxa" w:w="1080"/>
          </w:tcPr>
          <w:p>
            <w:r>
              <w:rPr>
                <w:rFonts w:ascii="Calibri" w:hAnsi="Calibri"/>
                <w:sz w:val="22"/>
              </w:rPr>
              <w:t>Stable; tracking above prior-year</w:t>
            </w:r>
          </w:p>
        </w:tc>
      </w:tr>
    </w:tbl>
    <w:p>
      <w:r>
        <w:rPr>
          <w:rFonts w:ascii="Calibri" w:hAnsi="Calibri"/>
          <w:b/>
          <w:color w:val="525866"/>
          <w:sz w:val="22"/>
        </w:rPr>
        <w:t xml:space="preserve">Note: </w:t>
      </w:r>
      <w:r>
        <w:rPr>
          <w:rFonts w:ascii="Calibri" w:hAnsi="Calibri"/>
          <w:color w:val="525866"/>
          <w:sz w:val="22"/>
        </w:rPr>
        <w:t>Revenue estimate drift is largely mechanical — Pizza Hut divestiture removes ~$17M/quarter of core operating profit and associated revenues from the consolidated model. Ex-PH, the core business estimate trajectory is positive. FY 2026 EPS slight downward drift from $6.77 to $6.70 reflects PH accounting adjustments, not underlying business deterioration. Source: Visible Alpha Consensus and Actuals Data.</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 xml:space="preserve">YUM has underperformed its QSR peer proxy since Q1 earnings (indexed ~95 vs. ~96 for QSR as of July 29), with the stock initially rallying on the Q1 beat before giving back gains through May–June; the </w:t>
      </w:r>
      <w:r>
        <w:rPr>
          <w:rFonts w:ascii="Calibri" w:hAnsi="Calibri"/>
          <w:b/>
          <w:color w:val="525866"/>
          <w:sz w:val="22"/>
        </w:rPr>
        <w:t>Pizza Hut divestiture announcement on June 16 provided a brief +2% catalyst</w:t>
      </w:r>
      <w:r>
        <w:rPr>
          <w:rFonts w:ascii="Calibri" w:hAnsi="Calibri"/>
          <w:color w:val="525866"/>
          <w:sz w:val="22"/>
        </w:rPr>
        <w:t xml:space="preserve"> but the stock has since drifted lower, suggesting the market is waiting for Q2 execution confirmation before re-rating. Performance has been multiple-driven (slight compression) rather than estimate-driven, as EPS revisions have been positive.</w:t>
      </w:r>
    </w:p>
    <w:p>
      <w:r>
        <w:drawing>
          <wp:inline xmlns:a="http://schemas.openxmlformats.org/drawingml/2006/main" xmlns:pic="http://schemas.openxmlformats.org/drawingml/2006/picture">
            <wp:extent cx="5943600" cy="4245429"/>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5943600" cy="4245429"/>
                    </a:xfrm>
                    <a:prstGeom prst="rect"/>
                  </pic:spPr>
                </pic:pic>
              </a:graphicData>
            </a:graphic>
          </wp:inline>
        </w:drawing>
      </w:r>
    </w:p>
    <w:p>
      <w:pPr>
        <w:jc w:val="center"/>
      </w:pPr>
      <w:r>
        <w:rPr>
          <w:i/>
          <w:color w:val="666666"/>
          <w:sz w:val="18"/>
        </w:rPr>
        <w:t>YUM vs. QSR (Peer Proxy) — Indexed to 100 at Q1 2026 Earnings (Apr 29, 2026). Source: Stock Price Data. Note: S&amp;P 500 not available in dataset; QSR (Restaurant Brands International) used as primary QSR peer proxy. Vertical dashed line marks Pizza Hut divestiture announcement (June 16, 2026).</w:t>
      </w:r>
    </w:p>
    <w:p>
      <w:r>
        <w:rPr>
          <w:rFonts w:ascii="Calibri" w:hAnsi="Calibri"/>
          <w:b/>
          <w:color w:val="525866"/>
          <w:sz w:val="22"/>
        </w:rPr>
        <w:t xml:space="preserve">Key observations: </w:t>
      </w:r>
      <w:r>
        <w:rPr>
          <w:rFonts w:ascii="Calibri" w:hAnsi="Calibri"/>
          <w:color w:val="525866"/>
          <w:sz w:val="22"/>
        </w:rPr>
        <w:t>YUM opened at 159.84 on earnings day (Apr 29) and closed at 151.92 on July 29, a decline of ~5.0% in absolute terms. QSR declined ~4.1% over the same period (78.70 to 75.52). The stock peaked around July 7 (~$167.49) before selling off sharply through mid-July, coinciding with broader QSR sector weakness. The June 16 Pizza Hut divestiture announcement drove a +2.1% single-day gain ($154.67 to $157.67) but the move faded within days. Source: Stock Price Data.</w:t>
      </w:r>
    </w:p>
    <w:p>
      <w:r>
        <w:br w:type="page"/>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 xml:space="preserve">The dominant development since Q1 earnings is the </w:t>
      </w:r>
      <w:r>
        <w:rPr>
          <w:rFonts w:ascii="Calibri" w:hAnsi="Calibri"/>
          <w:b/>
          <w:color w:val="525866"/>
          <w:sz w:val="22"/>
        </w:rPr>
        <w:t>Pizza Hut divestiture ($2.69B) announced June 16</w:t>
      </w:r>
      <w:r>
        <w:rPr>
          <w:rFonts w:ascii="Calibri" w:hAnsi="Calibri"/>
          <w:color w:val="525866"/>
          <w:sz w:val="22"/>
        </w:rPr>
        <w:t xml:space="preserve"> — this is a structural portfolio simplification that removes a drag brand, unlocks $4B in buyback capacity, and sharpens management focus on Taco Bell and KFC; the Q2 print will be the first opportunity to quantify the ex-PH earnings power and set the new baseline.</w:t>
      </w:r>
    </w:p>
    <w:p>
      <w:pPr>
        <w:pStyle w:val="ListBullet"/>
        <w:ind w:left="360" w:hanging="360"/>
      </w:pPr>
      <w:r>
        <w:rPr>
          <w:rFonts w:ascii="Calibri" w:hAnsi="Calibri"/>
          <w:b/>
          <w:color w:val="525866"/>
          <w:sz w:val="22"/>
        </w:rPr>
        <w:t xml:space="preserve">June 16, 2026 — Pizza Hut Divestiture Announced ($2.69B total): </w:t>
      </w:r>
      <w:r>
        <w:rPr>
          <w:rFonts w:ascii="Calibri" w:hAnsi="Calibri"/>
          <w:color w:val="525866"/>
          <w:sz w:val="22"/>
        </w:rPr>
        <w:t xml:space="preserve">Yum! Brands signed definitive agreements to sell its global Pizza Hut business (ex-China) to Toppings TopCo LLC (LongRange Capital) for $1.488B cash (+$75M earnout) and Pizza Hut China to Yum China Holdings for $1.2B cash. Transactions expected to close Q3 2026. Board simultaneously approved a new $4.0B share repurchase authorization (through June 30, 2028), in addition to ~$400M remaining under the existing program. </w:t>
      </w:r>
    </w:p>
    <w:p>
      <w:pPr>
        <w:pStyle w:val="ListBullet"/>
        <w:ind w:left="360" w:hanging="360"/>
      </w:pPr>
      <w:r>
        <w:rPr>
          <w:rFonts w:ascii="Calibri" w:hAnsi="Calibri"/>
          <w:b/>
          <w:color w:val="525866"/>
          <w:sz w:val="22"/>
        </w:rPr>
        <w:t xml:space="preserve">Implication: </w:t>
      </w:r>
      <w:r>
        <w:rPr>
          <w:rFonts w:ascii="Calibri" w:hAnsi="Calibri"/>
          <w:color w:val="525866"/>
          <w:sz w:val="22"/>
        </w:rPr>
        <w:t>Removes Pizza Hut's ~$17M/quarter core operating profit drag and associated management bandwidth; accelerates capital return; simplifies the equity story to a two-brand (Taco Bell + KFC) franchise system. Q2 will be the last quarter with full Pizza Hut consolidation.</w:t>
      </w:r>
    </w:p>
    <w:p>
      <w:pPr>
        <w:pStyle w:val="ListBullet"/>
        <w:ind w:left="360" w:hanging="360"/>
      </w:pPr>
      <w:r>
        <w:rPr>
          <w:rFonts w:ascii="Calibri" w:hAnsi="Calibri"/>
          <w:b/>
          <w:color w:val="525866"/>
          <w:sz w:val="22"/>
        </w:rPr>
        <w:t xml:space="preserve">April 29, 2026 — Q1 2026 Earnings Beat: </w:t>
      </w:r>
      <w:r>
        <w:rPr>
          <w:rFonts w:ascii="Calibri" w:hAnsi="Calibri"/>
          <w:color w:val="525866"/>
          <w:sz w:val="22"/>
        </w:rPr>
        <w:t xml:space="preserve">Taco Bell U.S. SSS of +8% (8th consecutive quarter ahead of industry); KFC record Q1 gross builds; digital mix reached 63% (new high); adjusted EPS of $1.50 beat consensus of $1.38 by +8.7%. Management raised Taco Bell U.S. restaurant-level margin guidance to 24.5%–25.5%. </w:t>
      </w:r>
    </w:p>
    <w:p>
      <w:pPr>
        <w:pStyle w:val="ListBullet"/>
        <w:ind w:left="360" w:hanging="360"/>
      </w:pPr>
      <w:r>
        <w:rPr>
          <w:rFonts w:ascii="Calibri" w:hAnsi="Calibri"/>
          <w:b/>
          <w:color w:val="525866"/>
          <w:sz w:val="22"/>
        </w:rPr>
        <w:t xml:space="preserve">Implication: </w:t>
      </w:r>
      <w:r>
        <w:rPr>
          <w:rFonts w:ascii="Calibri" w:hAnsi="Calibri"/>
          <w:color w:val="525866"/>
          <w:sz w:val="22"/>
        </w:rPr>
        <w:t>Sets a high bar for Q2 Taco Bell SSS expectations; raised margin guidance provides a floor for profitability even if SSS moderates.</w:t>
      </w:r>
    </w:p>
    <w:p>
      <w:pPr>
        <w:pStyle w:val="ListBullet"/>
        <w:ind w:left="360" w:hanging="360"/>
      </w:pPr>
      <w:r>
        <w:rPr>
          <w:rFonts w:ascii="Calibri" w:hAnsi="Calibri"/>
          <w:b/>
          <w:color w:val="525866"/>
          <w:sz w:val="22"/>
        </w:rPr>
        <w:t xml:space="preserve">Q2 2026 — KFC U.K. Pickle Mania Menu Momentum: </w:t>
      </w:r>
      <w:r>
        <w:rPr>
          <w:rFonts w:ascii="Calibri" w:hAnsi="Calibri"/>
          <w:color w:val="525866"/>
          <w:sz w:val="22"/>
        </w:rPr>
        <w:t xml:space="preserve">Management noted on the Q1 call that KFC U.K. was "seeing strong momentum to start Q2, driven by the Pickle Mania menu, which featured 4-pickle topped items" following a +7% Q1 SSS. </w:t>
      </w:r>
    </w:p>
    <w:p>
      <w:pPr>
        <w:pStyle w:val="ListBullet"/>
        <w:ind w:left="360" w:hanging="360"/>
      </w:pPr>
      <w:r>
        <w:rPr>
          <w:rFonts w:ascii="Calibri" w:hAnsi="Calibri"/>
          <w:b/>
          <w:color w:val="525866"/>
          <w:sz w:val="22"/>
        </w:rPr>
        <w:t xml:space="preserve">Implication: </w:t>
      </w:r>
      <w:r>
        <w:rPr>
          <w:rFonts w:ascii="Calibri" w:hAnsi="Calibri"/>
          <w:color w:val="525866"/>
          <w:sz w:val="22"/>
        </w:rPr>
        <w:t>Positive read-through for KFC International SSS in Q2; U.K. is a lighthouse market for Byte digital/e-commerce rollout.</w:t>
      </w:r>
    </w:p>
    <w:p>
      <w:pPr>
        <w:pStyle w:val="ListBullet"/>
        <w:ind w:left="360" w:hanging="360"/>
      </w:pPr>
      <w:r>
        <w:rPr>
          <w:rFonts w:ascii="Calibri" w:hAnsi="Calibri"/>
          <w:b/>
          <w:color w:val="525866"/>
          <w:sz w:val="22"/>
        </w:rPr>
        <w:t xml:space="preserve">2026 — Byte Platform International Expansion: </w:t>
      </w:r>
      <w:r>
        <w:rPr>
          <w:rFonts w:ascii="Calibri" w:hAnsi="Calibri"/>
          <w:color w:val="525866"/>
          <w:sz w:val="22"/>
        </w:rPr>
        <w:t xml:space="preserve">KFC U.K. and Australia on track to roll out Byte bundles in 2026, representing 2,000 incremental restaurant locations native to Byte. Taco Bell U.K. is the first international market on both digital ordering and Smart Ops bundles. AI-driven A/B testing in drive-thru piloted at Taco Bell U.S. in Q1 with nationwide rollout planned for 2026. </w:t>
      </w:r>
    </w:p>
    <w:p>
      <w:pPr>
        <w:pStyle w:val="ListBullet"/>
        <w:ind w:left="360" w:hanging="360"/>
      </w:pPr>
      <w:r>
        <w:rPr>
          <w:rFonts w:ascii="Calibri" w:hAnsi="Calibri"/>
          <w:b/>
          <w:color w:val="525866"/>
          <w:sz w:val="22"/>
        </w:rPr>
        <w:t xml:space="preserve">Implication: </w:t>
      </w:r>
      <w:r>
        <w:rPr>
          <w:rFonts w:ascii="Calibri" w:hAnsi="Calibri"/>
          <w:color w:val="525866"/>
          <w:sz w:val="22"/>
        </w:rPr>
        <w:t>Technology differentiation is a medium-term margin and efficiency driver; near-term impact is modest but builds the long-term moat narrative.</w:t>
      </w:r>
    </w:p>
    <w:p>
      <w:pPr>
        <w:pStyle w:val="ListBullet"/>
        <w:ind w:left="360" w:hanging="360"/>
      </w:pPr>
      <w:r>
        <w:rPr>
          <w:rFonts w:ascii="Calibri" w:hAnsi="Calibri"/>
          <w:b/>
          <w:color w:val="525866"/>
          <w:sz w:val="22"/>
        </w:rPr>
        <w:t xml:space="preserve">2026 — KFC Loyalty Expansion: </w:t>
      </w:r>
      <w:r>
        <w:rPr>
          <w:rFonts w:ascii="Calibri" w:hAnsi="Calibri"/>
          <w:color w:val="525866"/>
          <w:sz w:val="22"/>
        </w:rPr>
        <w:t xml:space="preserve">KFC planning loyalty expansion to 20 additional markets in 2026, targeting all top 20 markets with loyalty programs by year-end; path to triple 90-day active user base. KWENCH beverage platform scaling to U.K., Australia, and Canada. </w:t>
      </w:r>
    </w:p>
    <w:p>
      <w:pPr>
        <w:pStyle w:val="ListBullet"/>
        <w:ind w:left="360" w:hanging="360"/>
      </w:pPr>
      <w:r>
        <w:rPr>
          <w:rFonts w:ascii="Calibri" w:hAnsi="Calibri"/>
          <w:b/>
          <w:color w:val="525866"/>
          <w:sz w:val="22"/>
        </w:rPr>
        <w:t xml:space="preserve">Implication: </w:t>
      </w:r>
      <w:r>
        <w:rPr>
          <w:rFonts w:ascii="Calibri" w:hAnsi="Calibri"/>
          <w:color w:val="525866"/>
          <w:sz w:val="22"/>
        </w:rPr>
        <w:t>Loyalty is a frequency driver; KFC is self-described as significantly behind on loyalty vs. peers, so this is a multi-year SSS tailwind if execution follows.</w:t>
      </w:r>
    </w:p>
    <w:p>
      <w:pPr>
        <w:pStyle w:val="ListBullet"/>
        <w:ind w:left="360" w:hanging="360"/>
      </w:pPr>
      <w:r>
        <w:rPr>
          <w:rFonts w:ascii="Calibri" w:hAnsi="Calibri"/>
          <w:b/>
          <w:color w:val="525866"/>
          <w:sz w:val="22"/>
        </w:rPr>
        <w:t xml:space="preserve">2026 — Taco Bell Beverage Platform Elevated to Strategic Priority: </w:t>
      </w:r>
      <w:r>
        <w:rPr>
          <w:rFonts w:ascii="Calibri" w:hAnsi="Calibri"/>
          <w:color w:val="525866"/>
          <w:sz w:val="22"/>
        </w:rPr>
        <w:t xml:space="preserve">Nearly half of specialty beverage sales are stand-alone orders without food, signaling high incrementality. Management framing beverages as a "category-of-one" strategic priority. </w:t>
      </w:r>
    </w:p>
    <w:p>
      <w:pPr>
        <w:pStyle w:val="ListBullet"/>
        <w:ind w:left="360" w:hanging="360"/>
      </w:pPr>
      <w:r>
        <w:rPr>
          <w:rFonts w:ascii="Calibri" w:hAnsi="Calibri"/>
          <w:b/>
          <w:color w:val="525866"/>
          <w:sz w:val="22"/>
        </w:rPr>
        <w:t xml:space="preserve">Implication: </w:t>
      </w:r>
      <w:r>
        <w:rPr>
          <w:rFonts w:ascii="Calibri" w:hAnsi="Calibri"/>
          <w:color w:val="525866"/>
          <w:sz w:val="22"/>
        </w:rPr>
        <w:t>Beverages are a high-margin, incremental occasion that could expand Taco Bell's addressable market and support AUV growth toward the $3M by 2030 target.</w:t>
      </w:r>
    </w:p>
    <w:p>
      <w:pPr>
        <w:pStyle w:val="ListBullet"/>
        <w:ind w:left="360" w:hanging="360"/>
      </w:pPr>
      <w:r>
        <w:rPr>
          <w:rFonts w:ascii="Calibri" w:hAnsi="Calibri"/>
          <w:b/>
          <w:color w:val="525866"/>
          <w:sz w:val="22"/>
        </w:rPr>
        <w:t xml:space="preserve">2026 — KFC U.S. Three Consecutive Quarters of Positive SSS: </w:t>
      </w:r>
      <w:r>
        <w:rPr>
          <w:rFonts w:ascii="Calibri" w:hAnsi="Calibri"/>
          <w:color w:val="525866"/>
          <w:sz w:val="22"/>
        </w:rPr>
        <w:t xml:space="preserve">Under new president Kathryn Tan Gillespie, KFC U.S. has posted three consecutive quarters of positive SSS after ~two years of negative comps. Management not claiming victory but characterizing trajectory as encouraging. </w:t>
      </w:r>
    </w:p>
    <w:p>
      <w:pPr>
        <w:pStyle w:val="ListBullet"/>
        <w:ind w:left="360" w:hanging="360"/>
      </w:pPr>
      <w:r>
        <w:rPr>
          <w:rFonts w:ascii="Calibri" w:hAnsi="Calibri"/>
          <w:b/>
          <w:color w:val="525866"/>
          <w:sz w:val="22"/>
        </w:rPr>
        <w:t xml:space="preserve">Implication: </w:t>
      </w:r>
      <w:r>
        <w:rPr>
          <w:rFonts w:ascii="Calibri" w:hAnsi="Calibri"/>
          <w:color w:val="525866"/>
          <w:sz w:val="22"/>
        </w:rPr>
        <w:t>KFC U.S. is &lt;5% of Yum! operating profit ex-PH, so the financial impact is limited, but a sustained turnaround would remove a narrative overhang.</w:t>
      </w:r>
    </w:p>
    <w:p>
      <w:r>
        <w:br w:type="page"/>
      </w:r>
    </w:p>
    <w:p>
      <w:pPr>
        <w:pStyle w:val="Heading2"/>
      </w:pPr>
      <w:r>
        <w:rPr>
          <w:rFonts w:ascii="Calibri" w:hAnsi="Calibri"/>
          <w:b/>
          <w:color w:val="3B4259"/>
          <w:sz w:val="28"/>
        </w:rPr>
        <w:t>7. Peer Commentaries — Q2 2026 Read-Throughs</w:t>
      </w:r>
    </w:p>
    <w:p>
      <w:r>
        <w:rPr>
          <w:rFonts w:ascii="Calibri" w:hAnsi="Calibri"/>
          <w:b/>
          <w:color w:val="525866"/>
          <w:sz w:val="22"/>
        </w:rPr>
        <w:t xml:space="preserve">Key Takeaway: </w:t>
      </w:r>
      <w:r>
        <w:rPr>
          <w:rFonts w:ascii="Calibri" w:hAnsi="Calibri"/>
          <w:color w:val="525866"/>
          <w:sz w:val="22"/>
        </w:rPr>
        <w:t xml:space="preserve">Peer commentary from Q2 2026 earnings calls (DPZ, CMG, SBUX, DRI) paints a nuanced picture — </w:t>
      </w:r>
      <w:r>
        <w:rPr>
          <w:rFonts w:ascii="Calibri" w:hAnsi="Calibri"/>
          <w:b/>
          <w:color w:val="525866"/>
          <w:sz w:val="22"/>
        </w:rPr>
        <w:t>QSR order counts were flat in Q2 and macro headwinds persisted</w:t>
      </w:r>
      <w:r>
        <w:rPr>
          <w:rFonts w:ascii="Calibri" w:hAnsi="Calibri"/>
          <w:color w:val="525866"/>
          <w:sz w:val="22"/>
        </w:rPr>
        <w:t>, but brands with strong value propositions and innovation pipelines (SBUX, CMG, DRI) continued to take share; the read-through for YUM is mixed: Taco Bell's value positioning and beverage innovation should be resilient, but the flat QSR traffic environment is a headwind to the high-single-digit SSS run-rate.</w:t>
      </w:r>
    </w:p>
    <w:p>
      <w:r>
        <w:rPr>
          <w:rFonts w:ascii="Calibri" w:hAnsi="Calibri"/>
          <w:b/>
          <w:color w:val="525866"/>
          <w:sz w:val="22"/>
        </w:rPr>
        <w:t xml:space="preserve">Note: </w:t>
      </w:r>
      <w:r>
        <w:rPr>
          <w:rFonts w:ascii="Calibri" w:hAnsi="Calibri"/>
          <w:color w:val="525866"/>
          <w:sz w:val="22"/>
        </w:rPr>
        <w:t>All peer commentary below is from Q2 2026 earnings calls or 8-Ks filed after YUM's Q1 2026 earnings (April 29, 2026), and pertains to the current reporting quarter (Q2 2026 calendar) or forward outlook. Prior-quarter result commentary has been excluded.</w:t>
      </w:r>
    </w:p>
    <w:p>
      <w:pPr>
        <w:pStyle w:val="Heading3"/>
      </w:pPr>
      <w:r>
        <w:rPr>
          <w:rFonts w:ascii="Calibri" w:hAnsi="Calibri"/>
          <w:b/>
          <w:color w:val="3B4259"/>
          <w:sz w:val="24"/>
        </w:rPr>
        <w:t>Domino's Pizza (DPZ) — Q2 2026 Earnings Call (July 20, 2026)</w:t>
      </w:r>
    </w:p>
    <w:p>
      <w:pPr>
        <w:pStyle w:val="ListBullet"/>
        <w:ind w:left="360" w:hanging="360"/>
      </w:pPr>
      <w:r>
        <w:rPr>
          <w:rFonts w:ascii="Calibri" w:hAnsi="Calibri"/>
          <w:b/>
          <w:color w:val="525866"/>
          <w:sz w:val="22"/>
        </w:rPr>
        <w:t xml:space="preserve">QSR order counts were flat in Q2 2026: </w:t>
      </w:r>
      <w:r>
        <w:rPr>
          <w:rFonts w:ascii="Calibri" w:hAnsi="Calibri"/>
          <w:color w:val="525866"/>
          <w:sz w:val="22"/>
        </w:rPr>
        <w:t xml:space="preserve">"The QSR industry in the US has been struggling with order counts during a difficult period of macroeconomic uncertainty. We believe this continued in Q2, where QSR order counts were flat." </w:t>
      </w:r>
    </w:p>
    <w:p>
      <w:pPr>
        <w:pStyle w:val="ListBullet"/>
        <w:ind w:left="360" w:hanging="360"/>
      </w:pPr>
      <w:r>
        <w:rPr>
          <w:rFonts w:ascii="Calibri" w:hAnsi="Calibri"/>
          <w:b/>
          <w:color w:val="525866"/>
          <w:sz w:val="22"/>
        </w:rPr>
        <w:t xml:space="preserve">Read-through for YUM: </w:t>
      </w:r>
      <w:r>
        <w:rPr>
          <w:rFonts w:ascii="Calibri" w:hAnsi="Calibri"/>
          <w:color w:val="525866"/>
          <w:sz w:val="22"/>
        </w:rPr>
        <w:t>Flat QSR traffic is a headwind to Taco Bell's ability to sustain 8% SSS; however, Taco Bell has consistently outperformed the QSR industry benchmark, and its value positioning ("renowned value") and beverage innovation provide differentiated traffic drivers. The flat industry backdrop makes Taco Bell's Q1 +8% SSS even more impressive in context, but also raises the bar for Q2 sustainability.</w:t>
      </w:r>
    </w:p>
    <w:p>
      <w:pPr>
        <w:pStyle w:val="ListBullet"/>
        <w:ind w:left="360" w:hanging="360"/>
      </w:pPr>
      <w:r>
        <w:rPr>
          <w:rFonts w:ascii="Calibri" w:hAnsi="Calibri"/>
          <w:b/>
          <w:color w:val="525866"/>
          <w:sz w:val="22"/>
        </w:rPr>
        <w:t xml:space="preserve">Domino's gained millions of new customers in Q1 and Q2 2026: </w:t>
      </w:r>
      <w:r>
        <w:rPr>
          <w:rFonts w:ascii="Calibri" w:hAnsi="Calibri"/>
          <w:color w:val="525866"/>
          <w:sz w:val="22"/>
        </w:rPr>
        <w:t xml:space="preserve">"Millions of new customers came to Domino's in both the first and second quarters of this year." Order counts were up meaningfully in both delivery and carryout, driven by aggregator growth (now #1 pizza player on both Uber and DoorDash). </w:t>
      </w:r>
    </w:p>
    <w:p>
      <w:pPr>
        <w:pStyle w:val="ListBullet"/>
        <w:ind w:left="360" w:hanging="360"/>
      </w:pPr>
      <w:r>
        <w:rPr>
          <w:rFonts w:ascii="Calibri" w:hAnsi="Calibri"/>
          <w:b/>
          <w:color w:val="525866"/>
          <w:sz w:val="22"/>
        </w:rPr>
        <w:t xml:space="preserve">Read-through for YUM: </w:t>
      </w:r>
      <w:r>
        <w:rPr>
          <w:rFonts w:ascii="Calibri" w:hAnsi="Calibri"/>
          <w:color w:val="525866"/>
          <w:sz w:val="22"/>
        </w:rPr>
        <w:t>Aggregator-driven traffic growth is a broader QSR trend; Taco Bell's digital mix at 63% and beverage stand-alone orders suggest it is capturing similar incremental occasions. Positive for Taco Bell's digital/delivery strategy.</w:t>
      </w:r>
    </w:p>
    <w:p>
      <w:pPr>
        <w:pStyle w:val="ListBullet"/>
        <w:ind w:left="360" w:hanging="360"/>
      </w:pPr>
      <w:r>
        <w:rPr>
          <w:rFonts w:ascii="Calibri" w:hAnsi="Calibri"/>
          <w:b/>
          <w:color w:val="525866"/>
          <w:sz w:val="22"/>
        </w:rPr>
        <w:t xml:space="preserve">Q2 ticket miss was self-inflicted, not macro: </w:t>
      </w:r>
      <w:r>
        <w:rPr>
          <w:rFonts w:ascii="Calibri" w:hAnsi="Calibri"/>
          <w:color w:val="525866"/>
          <w:sz w:val="22"/>
        </w:rPr>
        <w:t xml:space="preserve">DPZ management stated "the miss on ticket was largely within our control" and attributed it to a planned lap with the Premium Series that underperformed. They expect the drag to be lower in Q3 with a new pizza innovation. </w:t>
      </w:r>
    </w:p>
    <w:p>
      <w:pPr>
        <w:pStyle w:val="ListBullet"/>
        <w:ind w:left="360" w:hanging="360"/>
      </w:pPr>
      <w:r>
        <w:rPr>
          <w:rFonts w:ascii="Calibri" w:hAnsi="Calibri"/>
          <w:b/>
          <w:color w:val="525866"/>
          <w:sz w:val="22"/>
        </w:rPr>
        <w:t xml:space="preserve">Read-through for YUM: </w:t>
      </w:r>
      <w:r>
        <w:rPr>
          <w:rFonts w:ascii="Calibri" w:hAnsi="Calibri"/>
          <w:color w:val="525866"/>
          <w:sz w:val="22"/>
        </w:rPr>
        <w:t>Suggests the QSR consumer is not fundamentally broken — execution and menu innovation matter more than macro in determining SSS outcomes. Positive for Taco Bell, which has a strong innovation pipeline (beverages, AI drive-thru).</w:t>
      </w:r>
    </w:p>
    <w:p>
      <w:pPr>
        <w:pStyle w:val="ListBullet"/>
        <w:ind w:left="360" w:hanging="360"/>
      </w:pPr>
      <w:r>
        <w:rPr>
          <w:rFonts w:ascii="Calibri" w:hAnsi="Calibri"/>
          <w:b/>
          <w:color w:val="525866"/>
          <w:sz w:val="22"/>
        </w:rPr>
        <w:t xml:space="preserve">Franchisee profitability under pressure from ticket miss: </w:t>
      </w:r>
      <w:r>
        <w:rPr>
          <w:rFonts w:ascii="Calibri" w:hAnsi="Calibri"/>
          <w:color w:val="525866"/>
          <w:sz w:val="22"/>
        </w:rPr>
        <w:t xml:space="preserve">DPZ acknowledged a "one quarter blip on ticket" that impacted franchisee profitability, but expressed confidence in fixing it. </w:t>
      </w:r>
    </w:p>
    <w:p>
      <w:pPr>
        <w:pStyle w:val="ListBullet"/>
        <w:ind w:left="360" w:hanging="360"/>
      </w:pPr>
      <w:r>
        <w:rPr>
          <w:rFonts w:ascii="Calibri" w:hAnsi="Calibri"/>
          <w:b/>
          <w:color w:val="525866"/>
          <w:sz w:val="22"/>
        </w:rPr>
        <w:t xml:space="preserve">Read-through for YUM: </w:t>
      </w:r>
      <w:r>
        <w:rPr>
          <w:rFonts w:ascii="Calibri" w:hAnsi="Calibri"/>
          <w:color w:val="525866"/>
          <w:sz w:val="22"/>
        </w:rPr>
        <w:t>Franchisee economics are a key watch item for YUM as well; Taco Bell's raised margin guidance (24.5%–25.5%) suggests its franchisees are in better shape than DPZ's in Q2.</w:t>
      </w:r>
    </w:p>
    <w:p>
      <w:pPr>
        <w:pStyle w:val="Heading3"/>
      </w:pPr>
      <w:r>
        <w:rPr>
          <w:rFonts w:ascii="Calibri" w:hAnsi="Calibri"/>
          <w:b/>
          <w:color w:val="3B4259"/>
          <w:sz w:val="24"/>
        </w:rPr>
        <w:t>Chipotle Mexican Grill (CMG) — Q2 2026 Earnings Call (July 29, 2026)</w:t>
      </w:r>
    </w:p>
    <w:p>
      <w:pPr>
        <w:pStyle w:val="ListBullet"/>
        <w:ind w:left="360" w:hanging="360"/>
      </w:pPr>
      <w:r>
        <w:rPr>
          <w:rFonts w:ascii="Calibri" w:hAnsi="Calibri"/>
          <w:b/>
          <w:color w:val="525866"/>
          <w:sz w:val="22"/>
        </w:rPr>
        <w:t xml:space="preserve">Q2 2026 comparable sales +2.2%, transaction comp +1%: </w:t>
      </w:r>
      <w:r>
        <w:rPr>
          <w:rFonts w:ascii="Calibri" w:hAnsi="Calibri"/>
          <w:color w:val="525866"/>
          <w:sz w:val="22"/>
        </w:rPr>
        <w:t xml:space="preserve">"Sales grew 9.3% to $3.3 billion, driven by a comparable restaurant sales increase of 2.2%, including a transaction comp of 1%." Traffic improved throughout Q2 and momentum continued into the first half of July. </w:t>
      </w:r>
    </w:p>
    <w:p>
      <w:pPr>
        <w:pStyle w:val="ListBullet"/>
        <w:ind w:left="360" w:hanging="360"/>
      </w:pPr>
      <w:r>
        <w:rPr>
          <w:rFonts w:ascii="Calibri" w:hAnsi="Calibri"/>
          <w:b/>
          <w:color w:val="525866"/>
          <w:sz w:val="22"/>
        </w:rPr>
        <w:t xml:space="preserve">Read-through for YUM: </w:t>
      </w:r>
      <w:r>
        <w:rPr>
          <w:rFonts w:ascii="Calibri" w:hAnsi="Calibri"/>
          <w:color w:val="525866"/>
          <w:sz w:val="22"/>
        </w:rPr>
        <w:t>CMG's positive transaction growth in a challenging macro environment is a positive signal for the broader casual/fast-casual consumer. Taco Bell competes for similar value-oriented consumers; CMG's traffic recovery suggests the lower-income and younger cohorts (Taco Bell's core) are not in freefall.</w:t>
      </w:r>
    </w:p>
    <w:p>
      <w:pPr>
        <w:pStyle w:val="ListBullet"/>
        <w:ind w:left="360" w:hanging="360"/>
      </w:pPr>
      <w:r>
        <w:rPr>
          <w:rFonts w:ascii="Calibri" w:hAnsi="Calibri"/>
          <w:b/>
          <w:color w:val="525866"/>
          <w:sz w:val="22"/>
        </w:rPr>
        <w:t xml:space="preserve">Cyclospora headwind in late July — ~200bps impact: </w:t>
      </w:r>
      <w:r>
        <w:rPr>
          <w:rFonts w:ascii="Calibri" w:hAnsi="Calibri"/>
          <w:color w:val="525866"/>
          <w:sz w:val="22"/>
        </w:rPr>
        <w:t xml:space="preserve">"In the second half of July, we did see a softening, call it about 200 basis points or so right around the issue that's affecting the industry around Cyclospora." CMG noted it is not involved in the Cyclospora conversation (products not used on menu, lettuces sourced in California) but is impacted from a sales perspective due to broader consumer caution. </w:t>
      </w:r>
    </w:p>
    <w:p>
      <w:pPr>
        <w:pStyle w:val="ListBullet"/>
        <w:ind w:left="360" w:hanging="360"/>
      </w:pPr>
      <w:r>
        <w:rPr>
          <w:rFonts w:ascii="Calibri" w:hAnsi="Calibri"/>
          <w:b/>
          <w:color w:val="525866"/>
          <w:sz w:val="22"/>
        </w:rPr>
        <w:t xml:space="preserve">Read-through for YUM: </w:t>
      </w:r>
      <w:r>
        <w:rPr>
          <w:rFonts w:ascii="Calibri" w:hAnsi="Calibri"/>
          <w:color w:val="525866"/>
          <w:sz w:val="22"/>
        </w:rPr>
        <w:t>This is a late-July development and would not affect YUM's Q2 2026 results (quarter ended June 30). However, it is a potential headwind for Q3 2026 if consumer caution around food safety persists. Taco Bell's menu (beef, chicken, cheese) is not directly implicated.</w:t>
      </w:r>
    </w:p>
    <w:p>
      <w:pPr>
        <w:pStyle w:val="ListBullet"/>
        <w:ind w:left="360" w:hanging="360"/>
      </w:pPr>
      <w:r>
        <w:rPr>
          <w:rFonts w:ascii="Calibri" w:hAnsi="Calibri"/>
          <w:b/>
          <w:color w:val="525866"/>
          <w:sz w:val="22"/>
        </w:rPr>
        <w:t xml:space="preserve">Value perception at multi-year highs: </w:t>
      </w:r>
      <w:r>
        <w:rPr>
          <w:rFonts w:ascii="Calibri" w:hAnsi="Calibri"/>
          <w:color w:val="525866"/>
          <w:sz w:val="22"/>
        </w:rPr>
        <w:t xml:space="preserve">"Our affordability scores were better in Q2 than they've been in probably the past couple of years." CMG's brand tracker showed solid progress across all income groups and age cohorts on value perception. </w:t>
      </w:r>
    </w:p>
    <w:p>
      <w:pPr>
        <w:pStyle w:val="ListBullet"/>
        <w:ind w:left="360" w:hanging="360"/>
      </w:pPr>
      <w:r>
        <w:rPr>
          <w:rFonts w:ascii="Calibri" w:hAnsi="Calibri"/>
          <w:b/>
          <w:color w:val="525866"/>
          <w:sz w:val="22"/>
        </w:rPr>
        <w:t xml:space="preserve">Read-through for YUM: </w:t>
      </w:r>
      <w:r>
        <w:rPr>
          <w:rFonts w:ascii="Calibri" w:hAnsi="Calibri"/>
          <w:color w:val="525866"/>
          <w:sz w:val="22"/>
        </w:rPr>
        <w:t>Positive for the broader QSR value narrative; Taco Bell's "renowned value" positioning is well-established and should benefit from the same consumer dynamic. If CMG is winning on value at higher price points, Taco Bell's lower price point is even more defensible.</w:t>
      </w:r>
    </w:p>
    <w:p>
      <w:pPr>
        <w:pStyle w:val="ListBullet"/>
        <w:ind w:left="360" w:hanging="360"/>
      </w:pPr>
      <w:r>
        <w:rPr>
          <w:rFonts w:ascii="Calibri" w:hAnsi="Calibri"/>
          <w:b/>
          <w:color w:val="525866"/>
          <w:sz w:val="22"/>
        </w:rPr>
        <w:t xml:space="preserve">Full-year 2026 comp guidance raised to low single digits: </w:t>
      </w:r>
      <w:r>
        <w:rPr>
          <w:rFonts w:ascii="Calibri" w:hAnsi="Calibri"/>
          <w:color w:val="525866"/>
          <w:sz w:val="22"/>
        </w:rPr>
        <w:t xml:space="preserve">CMG now expects "full year comp sales growth in the low single digit range," an increase from prior guidance. Q3 comp guided to ~+1% (assumes continuation of ~200bps Cyclospora impact). </w:t>
      </w:r>
    </w:p>
    <w:p>
      <w:pPr>
        <w:pStyle w:val="ListBullet"/>
        <w:ind w:left="360" w:hanging="360"/>
      </w:pPr>
      <w:r>
        <w:rPr>
          <w:rFonts w:ascii="Calibri" w:hAnsi="Calibri"/>
          <w:b/>
          <w:color w:val="525866"/>
          <w:sz w:val="22"/>
        </w:rPr>
        <w:t xml:space="preserve">Read-through for YUM: </w:t>
      </w:r>
      <w:r>
        <w:rPr>
          <w:rFonts w:ascii="Calibri" w:hAnsi="Calibri"/>
          <w:color w:val="525866"/>
          <w:sz w:val="22"/>
        </w:rPr>
        <w:t>CMG's raised full-year guidance despite near-term headwinds signals confidence in the consumer environment for the balance of 2026. Positive for YUM's ability to sustain Taco Bell momentum in H2 2026.</w:t>
      </w:r>
    </w:p>
    <w:p>
      <w:pPr>
        <w:pStyle w:val="Heading3"/>
      </w:pPr>
      <w:r>
        <w:rPr>
          <w:rFonts w:ascii="Calibri" w:hAnsi="Calibri"/>
          <w:b/>
          <w:color w:val="3B4259"/>
          <w:sz w:val="24"/>
        </w:rPr>
        <w:t>Starbucks (SBUX) — Q3 FY2026 Earnings Call (July 29, 2026)</w:t>
      </w:r>
    </w:p>
    <w:p>
      <w:pPr>
        <w:pStyle w:val="ListBullet"/>
        <w:ind w:left="360" w:hanging="360"/>
      </w:pPr>
      <w:r>
        <w:rPr>
          <w:rFonts w:ascii="Calibri" w:hAnsi="Calibri"/>
          <w:b/>
          <w:color w:val="525866"/>
          <w:sz w:val="22"/>
        </w:rPr>
        <w:t xml:space="preserve">Fourth consecutive quarter of positive global comps; U.S. comps +7.9%: </w:t>
      </w:r>
      <w:r>
        <w:rPr>
          <w:rFonts w:ascii="Calibri" w:hAnsi="Calibri"/>
          <w:color w:val="525866"/>
          <w:sz w:val="22"/>
        </w:rPr>
        <w:t xml:space="preserve">"In Q3, we delivered our fourth consecutive quarter of positive global comps and our second consecutive quarter of consolidated margin growth." U.S. comps were up 7.9%, driven by balanced transaction (+4.2%) and ticket (+3.6%) growth. </w:t>
      </w:r>
    </w:p>
    <w:p>
      <w:pPr>
        <w:pStyle w:val="ListBullet"/>
        <w:ind w:left="360" w:hanging="360"/>
      </w:pPr>
      <w:r>
        <w:rPr>
          <w:rFonts w:ascii="Calibri" w:hAnsi="Calibri"/>
          <w:b/>
          <w:color w:val="525866"/>
          <w:sz w:val="22"/>
        </w:rPr>
        <w:t xml:space="preserve">Read-through for YUM: </w:t>
      </w:r>
      <w:r>
        <w:rPr>
          <w:rFonts w:ascii="Calibri" w:hAnsi="Calibri"/>
          <w:color w:val="525866"/>
          <w:sz w:val="22"/>
        </w:rPr>
        <w:t>SBUX's strong transaction growth (+4.2%) in Q3 (April–June 2026) is a positive signal for the QSR consumer during the same period as YUM's Q2 2026. If SBUX is seeing broad-based traffic recovery across income groups, Taco Bell's value-oriented consumer base should be in at least as good shape.</w:t>
      </w:r>
    </w:p>
    <w:p>
      <w:pPr>
        <w:pStyle w:val="ListBullet"/>
        <w:ind w:left="360" w:hanging="360"/>
      </w:pPr>
      <w:r>
        <w:rPr>
          <w:rFonts w:ascii="Calibri" w:hAnsi="Calibri"/>
          <w:b/>
          <w:color w:val="525866"/>
          <w:sz w:val="22"/>
        </w:rPr>
        <w:t xml:space="preserve">Sales growth broad-based across generations and income groups: </w:t>
      </w:r>
      <w:r>
        <w:rPr>
          <w:rFonts w:ascii="Calibri" w:hAnsi="Calibri"/>
          <w:color w:val="525866"/>
          <w:sz w:val="22"/>
        </w:rPr>
        <w:t xml:space="preserve">"Sales growth in Q3 was broad based across generations and income groups and across both Starbucks Rewards members and non-members." Brand affinity, consideration, and purchase intent were "all at five year highs." </w:t>
      </w:r>
    </w:p>
    <w:p>
      <w:pPr>
        <w:pStyle w:val="ListBullet"/>
        <w:ind w:left="360" w:hanging="360"/>
      </w:pPr>
      <w:r>
        <w:rPr>
          <w:rFonts w:ascii="Calibri" w:hAnsi="Calibri"/>
          <w:b/>
          <w:color w:val="525866"/>
          <w:sz w:val="22"/>
        </w:rPr>
        <w:t xml:space="preserve">Read-through for YUM: </w:t>
      </w:r>
      <w:r>
        <w:rPr>
          <w:rFonts w:ascii="Calibri" w:hAnsi="Calibri"/>
          <w:color w:val="525866"/>
          <w:sz w:val="22"/>
        </w:rPr>
        <w:t>Broad-based consumer strength across income cohorts during Q2 2026 (SBUX's Q3 FY2026 = April–June 2026) is a positive read-through for Taco Bell's SSS. The lower-income cohort, which is Taco Bell's core, showed the most improvement at CMG as well — consistent signal.</w:t>
      </w:r>
    </w:p>
    <w:p>
      <w:pPr>
        <w:pStyle w:val="ListBullet"/>
        <w:ind w:left="360" w:hanging="360"/>
      </w:pPr>
      <w:r>
        <w:rPr>
          <w:rFonts w:ascii="Calibri" w:hAnsi="Calibri"/>
          <w:b/>
          <w:color w:val="525866"/>
          <w:sz w:val="22"/>
        </w:rPr>
        <w:t xml:space="preserve">Competition heating up in beverages: </w:t>
      </w:r>
      <w:r>
        <w:rPr>
          <w:rFonts w:ascii="Calibri" w:hAnsi="Calibri"/>
          <w:color w:val="525866"/>
          <w:sz w:val="22"/>
        </w:rPr>
        <w:t xml:space="preserve">SBUX CEO Brian Niccol acknowledged "the competition really heating up in that space" (beverages/refreshers). Taco Bell's beverage expansion (nearly half of specialty beverage sales are stand-alone orders) is directly competing in this space. </w:t>
      </w:r>
    </w:p>
    <w:p>
      <w:pPr>
        <w:pStyle w:val="ListBullet"/>
        <w:ind w:left="360" w:hanging="360"/>
      </w:pPr>
      <w:r>
        <w:rPr>
          <w:rFonts w:ascii="Calibri" w:hAnsi="Calibri"/>
          <w:b/>
          <w:color w:val="525866"/>
          <w:sz w:val="22"/>
        </w:rPr>
        <w:t xml:space="preserve">Read-through for YUM: </w:t>
      </w:r>
      <w:r>
        <w:rPr>
          <w:rFonts w:ascii="Calibri" w:hAnsi="Calibri"/>
          <w:color w:val="525866"/>
          <w:sz w:val="22"/>
        </w:rPr>
        <w:t>Taco Bell's beverage strategy is gaining traction in a competitive but growing category. SBUX's strong refresher performance ("really great quarter") validates the category demand; Taco Bell's lower price point and drive-thru convenience are differentiated advantages.</w:t>
      </w:r>
    </w:p>
    <w:p>
      <w:pPr>
        <w:pStyle w:val="ListBullet"/>
        <w:ind w:left="360" w:hanging="360"/>
      </w:pPr>
      <w:r>
        <w:rPr>
          <w:rFonts w:ascii="Calibri" w:hAnsi="Calibri"/>
          <w:b/>
          <w:color w:val="525866"/>
          <w:sz w:val="22"/>
        </w:rPr>
        <w:t xml:space="preserve">Q4 FY2026 U.S. comp guidance: 6.5% or better; full-year margin raised to &gt;11%: </w:t>
      </w:r>
      <w:r>
        <w:rPr>
          <w:rFonts w:ascii="Calibri" w:hAnsi="Calibri"/>
          <w:color w:val="525866"/>
          <w:sz w:val="22"/>
        </w:rPr>
        <w:t xml:space="preserve">SBUX raised full-year FY2026 consolidated margin guidance to "greater than 11%" and guided Q4 U.S. comp to "6.5% or better." </w:t>
      </w:r>
    </w:p>
    <w:p>
      <w:pPr>
        <w:pStyle w:val="ListBullet"/>
        <w:ind w:left="360" w:hanging="360"/>
      </w:pPr>
      <w:r>
        <w:rPr>
          <w:rFonts w:ascii="Calibri" w:hAnsi="Calibri"/>
          <w:b/>
          <w:color w:val="525866"/>
          <w:sz w:val="22"/>
        </w:rPr>
        <w:t xml:space="preserve">Read-through for YUM: </w:t>
      </w:r>
      <w:r>
        <w:rPr>
          <w:rFonts w:ascii="Calibri" w:hAnsi="Calibri"/>
          <w:color w:val="525866"/>
          <w:sz w:val="22"/>
        </w:rPr>
        <w:t>SBUX's raised guidance for the summer quarter (July–September 2026) suggests the QSR consumer environment remains supportive heading into YUM's Q3 2026. Positive for Taco Bell's H2 2026 outlook.</w:t>
      </w:r>
    </w:p>
    <w:p>
      <w:pPr>
        <w:pStyle w:val="Heading3"/>
      </w:pPr>
      <w:r>
        <w:rPr>
          <w:rFonts w:ascii="Calibri" w:hAnsi="Calibri"/>
          <w:b/>
          <w:color w:val="3B4259"/>
          <w:sz w:val="24"/>
        </w:rPr>
        <w:t>Darden Restaurants (DRI) — Q4 FY2026 Earnings Call (June 25, 2026)</w:t>
      </w:r>
    </w:p>
    <w:p>
      <w:pPr>
        <w:pStyle w:val="ListBullet"/>
        <w:ind w:left="360" w:hanging="360"/>
      </w:pPr>
      <w:r>
        <w:rPr>
          <w:rFonts w:ascii="Calibri" w:hAnsi="Calibri"/>
          <w:b/>
          <w:color w:val="525866"/>
          <w:sz w:val="22"/>
        </w:rPr>
        <w:t xml:space="preserve">Q4 FY2026 (March–May 2026) total SSS +4.6% with positive traffic; outperformed industry by 300bps: </w:t>
      </w:r>
      <w:r>
        <w:rPr>
          <w:rFonts w:ascii="Calibri" w:hAnsi="Calibri"/>
          <w:color w:val="525866"/>
          <w:sz w:val="22"/>
        </w:rPr>
        <w:t xml:space="preserve">"In the fourth quarter, we generated $3.7 billion of total sales, 13.7% higher than last year. This was driven by same restaurant sales growth of 4.6% with positive traffic growth." Same-restaurant sales and guest counts each exceeded the industry benchmark by over 300 basis points. </w:t>
      </w:r>
    </w:p>
    <w:p>
      <w:pPr>
        <w:pStyle w:val="ListBullet"/>
        <w:ind w:left="360" w:hanging="360"/>
      </w:pPr>
      <w:r>
        <w:rPr>
          <w:rFonts w:ascii="Calibri" w:hAnsi="Calibri"/>
          <w:b/>
          <w:color w:val="525866"/>
          <w:sz w:val="22"/>
        </w:rPr>
        <w:t xml:space="preserve">Read-through for YUM: </w:t>
      </w:r>
      <w:r>
        <w:rPr>
          <w:rFonts w:ascii="Calibri" w:hAnsi="Calibri"/>
          <w:color w:val="525866"/>
          <w:sz w:val="22"/>
        </w:rPr>
        <w:t>DRI's Q4 FY2026 covers March–May 2026, overlapping with the first two months of YUM's Q2 2026. Positive traffic growth at casual dining (which competes for similar occasions) during this period is a positive signal for the QSR consumer environment in Q2.</w:t>
      </w:r>
    </w:p>
    <w:p>
      <w:pPr>
        <w:pStyle w:val="ListBullet"/>
        <w:ind w:left="360" w:hanging="360"/>
      </w:pPr>
      <w:r>
        <w:rPr>
          <w:rFonts w:ascii="Calibri" w:hAnsi="Calibri"/>
          <w:b/>
          <w:color w:val="525866"/>
          <w:sz w:val="22"/>
        </w:rPr>
        <w:t xml:space="preserve">Consumer spending "pretty resilient" but mood "still a little cautious": </w:t>
      </w:r>
      <w:r>
        <w:rPr>
          <w:rFonts w:ascii="Calibri" w:hAnsi="Calibri"/>
          <w:color w:val="525866"/>
          <w:sz w:val="22"/>
        </w:rPr>
        <w:t xml:space="preserve">"Consumer spending remains pretty resilient. Overall the mood with consumers is still a little cautious." All income groups, including the bottom quintile, increased visits year-over-year. </w:t>
      </w:r>
    </w:p>
    <w:p>
      <w:pPr>
        <w:pStyle w:val="ListBullet"/>
        <w:ind w:left="360" w:hanging="360"/>
      </w:pPr>
      <w:r>
        <w:rPr>
          <w:rFonts w:ascii="Calibri" w:hAnsi="Calibri"/>
          <w:b/>
          <w:color w:val="525866"/>
          <w:sz w:val="22"/>
        </w:rPr>
        <w:t xml:space="preserve">Read-through for YUM: </w:t>
      </w:r>
      <w:r>
        <w:rPr>
          <w:rFonts w:ascii="Calibri" w:hAnsi="Calibri"/>
          <w:color w:val="525866"/>
          <w:sz w:val="22"/>
        </w:rPr>
        <w:t>Resilient spending across income groups, including the bottom quintile (Taco Bell's core demographic), is a positive read-through for Taco Bell SSS in Q2 2026. The "cautious mood" is consistent with the macro backdrop but not translating into reduced spending.</w:t>
      </w:r>
    </w:p>
    <w:p>
      <w:pPr>
        <w:pStyle w:val="ListBullet"/>
        <w:ind w:left="360" w:hanging="360"/>
      </w:pPr>
      <w:r>
        <w:rPr>
          <w:rFonts w:ascii="Calibri" w:hAnsi="Calibri"/>
          <w:b/>
          <w:color w:val="525866"/>
          <w:sz w:val="22"/>
        </w:rPr>
        <w:t xml:space="preserve">Softness in guests under 35; unemployment highest for 20–25 age group in a long time: </w:t>
      </w:r>
      <w:r>
        <w:rPr>
          <w:rFonts w:ascii="Calibri" w:hAnsi="Calibri"/>
          <w:color w:val="525866"/>
          <w:sz w:val="22"/>
        </w:rPr>
        <w:t xml:space="preserve">"We did see a little softness in guests under 35" with unemployment highest for the 20–25 age group in a long time. However, DRI noted this demographic is not a large part of their business. </w:t>
      </w:r>
    </w:p>
    <w:p>
      <w:pPr>
        <w:pStyle w:val="ListBullet"/>
        <w:ind w:left="360" w:hanging="360"/>
      </w:pPr>
      <w:r>
        <w:rPr>
          <w:rFonts w:ascii="Calibri" w:hAnsi="Calibri"/>
          <w:b/>
          <w:color w:val="525866"/>
          <w:sz w:val="22"/>
        </w:rPr>
        <w:t xml:space="preserve">Read-through for YUM: </w:t>
      </w:r>
      <w:r>
        <w:rPr>
          <w:rFonts w:ascii="Calibri" w:hAnsi="Calibri"/>
          <w:color w:val="525866"/>
          <w:sz w:val="22"/>
        </w:rPr>
        <w:t>This is a potential headwind for Taco Bell, which skews younger. However, Taco Bell's value positioning and beverage innovation have historically driven traffic even in periods of youth unemployment pressure. Watch for any commentary on transaction mix by age cohort.</w:t>
      </w:r>
    </w:p>
    <w:p>
      <w:pPr>
        <w:pStyle w:val="ListBullet"/>
        <w:ind w:left="360" w:hanging="360"/>
      </w:pPr>
      <w:r>
        <w:rPr>
          <w:rFonts w:ascii="Calibri" w:hAnsi="Calibri"/>
          <w:b/>
          <w:color w:val="525866"/>
          <w:sz w:val="22"/>
        </w:rPr>
        <w:t xml:space="preserve">LongHorn Steakhouse SSS +9.5%; trade-in from retail beef: </w:t>
      </w:r>
      <w:r>
        <w:rPr>
          <w:rFonts w:ascii="Calibri" w:hAnsi="Calibri"/>
          <w:color w:val="525866"/>
          <w:sz w:val="22"/>
        </w:rPr>
        <w:t xml:space="preserve">LongHorn outperformed the industry by 810bps, partly attributed to "high beef inflation in the market" making its relative value appear better, and "some trade in from retail" (retail steak volumes down 8.5%). </w:t>
      </w:r>
    </w:p>
    <w:p>
      <w:pPr>
        <w:pStyle w:val="ListBullet"/>
        <w:ind w:left="360" w:hanging="360"/>
      </w:pPr>
      <w:r>
        <w:rPr>
          <w:rFonts w:ascii="Calibri" w:hAnsi="Calibri"/>
          <w:b/>
          <w:color w:val="525866"/>
          <w:sz w:val="22"/>
        </w:rPr>
        <w:t xml:space="preserve">Read-through for YUM: </w:t>
      </w:r>
      <w:r>
        <w:rPr>
          <w:rFonts w:ascii="Calibri" w:hAnsi="Calibri"/>
          <w:color w:val="525866"/>
          <w:sz w:val="22"/>
        </w:rPr>
        <w:t>Beef inflation is a cost headwind for Taco Bell (beef is a key input), but the trade-in dynamic from retail suggests consumers are eating out more rather than cooking at home — a net positive for QSR traffic. Taco Bell's menu diversification (chicken, plant-based, beverages) provides some insulation from beef cost pressure.</w:t>
      </w:r>
    </w:p>
    <w:p>
      <w:pPr>
        <w:pStyle w:val="ListBullet"/>
        <w:ind w:left="360" w:hanging="360"/>
      </w:pPr>
      <w:r>
        <w:rPr>
          <w:rFonts w:ascii="Calibri" w:hAnsi="Calibri"/>
          <w:b/>
          <w:color w:val="525866"/>
          <w:sz w:val="22"/>
        </w:rPr>
        <w:t xml:space="preserve">FY2027 guidance: SSS +2.5%–3.5%, total inflation ~3%, pricing ~3%: </w:t>
      </w:r>
      <w:r>
        <w:rPr>
          <w:rFonts w:ascii="Calibri" w:hAnsi="Calibri"/>
          <w:color w:val="525866"/>
          <w:sz w:val="22"/>
        </w:rPr>
        <w:t xml:space="preserve">Darden guided FY2027 (June 2026–May 2027) SSS of 2.5%–3.5% with flat to positive traffic, total inflation ~3% (commodities ~3%, labor ~3.5%), and pricing ~3%. Q1 FY2027 commodities inflation expected at ~4% (highest of the year), with beef in mid-to-high single digits. </w:t>
      </w:r>
    </w:p>
    <w:p>
      <w:pPr>
        <w:pStyle w:val="ListBullet"/>
        <w:ind w:left="360" w:hanging="360"/>
      </w:pPr>
      <w:r>
        <w:rPr>
          <w:rFonts w:ascii="Calibri" w:hAnsi="Calibri"/>
          <w:b/>
          <w:color w:val="525866"/>
          <w:sz w:val="22"/>
        </w:rPr>
        <w:t xml:space="preserve">Read-through for YUM: </w:t>
      </w:r>
      <w:r>
        <w:rPr>
          <w:rFonts w:ascii="Calibri" w:hAnsi="Calibri"/>
          <w:color w:val="525866"/>
          <w:sz w:val="22"/>
        </w:rPr>
        <w:t>Elevated commodities inflation (especially beef) in Q3 2026 is a potential headwind for Taco Bell restaurant-level margins. However, Taco Bell's raised margin guidance (24.5%–25.5%) already contemplates the cost environment, and its pricing power has historically offset input cost pressure.</w:t>
      </w:r>
    </w:p>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 xml:space="preserve">All insider transactions since Q1 earnings are sales, but </w:t>
      </w:r>
      <w:r>
        <w:rPr>
          <w:rFonts w:ascii="Calibri" w:hAnsi="Calibri"/>
          <w:b/>
          <w:color w:val="525866"/>
          <w:sz w:val="22"/>
        </w:rPr>
        <w:t>virtually all are 10b5-1 planned sales</w:t>
      </w:r>
      <w:r>
        <w:rPr>
          <w:rFonts w:ascii="Calibri" w:hAnsi="Calibri"/>
          <w:color w:val="525866"/>
          <w:sz w:val="22"/>
        </w:rPr>
        <w:t xml:space="preserve"> (pre-scheduled, non-discretionary), with the notable exception of Taco Bell CEO Sean Tresvant's May 26 open-market sale of 3,000 shares (~$456K) which was NOT under a 10b5-1 plan — this is the only discretionary sale and warrants monitoring, though the size is modest relative to his holdings.</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rFonts w:ascii="Calibri" w:hAnsi="Calibri"/>
                <w:b/>
                <w:sz w:val="22"/>
              </w:rPr>
              <w:t>Name</w:t>
            </w:r>
          </w:p>
        </w:tc>
        <w:tc>
          <w:tcPr>
            <w:tcW w:type="dxa" w:w="1440"/>
          </w:tcPr>
          <w:p>
            <w:r>
              <w:rPr>
                <w:rFonts w:ascii="Calibri" w:hAnsi="Calibri"/>
                <w:b/>
                <w:sz w:val="22"/>
              </w:rPr>
              <w:t>Title</w:t>
            </w:r>
          </w:p>
        </w:tc>
        <w:tc>
          <w:tcPr>
            <w:tcW w:type="dxa" w:w="1440"/>
          </w:tcPr>
          <w:p>
            <w:r>
              <w:rPr>
                <w:rFonts w:ascii="Calibri" w:hAnsi="Calibri"/>
                <w:b/>
                <w:sz w:val="22"/>
              </w:rPr>
              <w:t>Transaction Type</w:t>
            </w:r>
          </w:p>
        </w:tc>
        <w:tc>
          <w:tcPr>
            <w:tcW w:type="dxa" w:w="1440"/>
          </w:tcPr>
          <w:p>
            <w:r>
              <w:rPr>
                <w:rFonts w:ascii="Calibri" w:hAnsi="Calibri"/>
                <w:b/>
                <w:sz w:val="22"/>
              </w:rPr>
              <w:t>Shares</w:t>
            </w:r>
          </w:p>
        </w:tc>
        <w:tc>
          <w:tcPr>
            <w:tcW w:type="dxa" w:w="1440"/>
          </w:tcPr>
          <w:p>
            <w:r>
              <w:rPr>
                <w:rFonts w:ascii="Calibri" w:hAnsi="Calibri"/>
                <w:b/>
                <w:sz w:val="22"/>
              </w:rPr>
              <w:t>Date</w:t>
            </w:r>
          </w:p>
        </w:tc>
        <w:tc>
          <w:tcPr>
            <w:tcW w:type="dxa" w:w="1440"/>
          </w:tcPr>
          <w:p>
            <w:r>
              <w:rPr>
                <w:rFonts w:ascii="Calibri" w:hAnsi="Calibri"/>
                <w:b/>
                <w:sz w:val="22"/>
              </w:rPr>
              <w:t>Note</w:t>
            </w:r>
          </w:p>
        </w:tc>
      </w:tr>
      <w:tr>
        <w:tc>
          <w:tcPr>
            <w:tcW w:type="dxa" w:w="1440"/>
          </w:tcPr>
          <w:p>
            <w:r>
              <w:rPr>
                <w:rFonts w:ascii="Calibri" w:hAnsi="Calibri"/>
                <w:sz w:val="22"/>
              </w:rPr>
              <w:t>Turner, Christopher Lee</w:t>
            </w:r>
          </w:p>
        </w:tc>
        <w:tc>
          <w:tcPr>
            <w:tcW w:type="dxa" w:w="1440"/>
          </w:tcPr>
          <w:p>
            <w:r>
              <w:rPr>
                <w:rFonts w:ascii="Calibri" w:hAnsi="Calibri"/>
                <w:sz w:val="22"/>
              </w:rPr>
              <w:t>CEO, Chairman of Board, Director</w:t>
            </w:r>
          </w:p>
        </w:tc>
        <w:tc>
          <w:tcPr>
            <w:tcW w:type="dxa" w:w="1440"/>
          </w:tcPr>
          <w:p>
            <w:r>
              <w:rPr>
                <w:rFonts w:ascii="Calibri" w:hAnsi="Calibri"/>
                <w:sz w:val="22"/>
              </w:rPr>
              <w:t>Open Market Sale</w:t>
            </w:r>
          </w:p>
        </w:tc>
        <w:tc>
          <w:tcPr>
            <w:tcW w:type="dxa" w:w="1440"/>
          </w:tcPr>
          <w:p>
            <w:r>
              <w:rPr>
                <w:rFonts w:ascii="Calibri" w:hAnsi="Calibri"/>
                <w:sz w:val="22"/>
              </w:rPr>
              <w:t>250 shares</w:t>
            </w:r>
          </w:p>
        </w:tc>
        <w:tc>
          <w:tcPr>
            <w:tcW w:type="dxa" w:w="1440"/>
          </w:tcPr>
          <w:p>
            <w:r>
              <w:rPr>
                <w:rFonts w:ascii="Calibri" w:hAnsi="Calibri"/>
                <w:sz w:val="22"/>
              </w:rPr>
              <w:t>Jul 1, 2026</w:t>
            </w:r>
          </w:p>
        </w:tc>
        <w:tc>
          <w:tcPr>
            <w:tcW w:type="dxa" w:w="1440"/>
          </w:tcPr>
          <w:p>
            <w:r>
              <w:rPr>
                <w:rFonts w:ascii="Calibri" w:hAnsi="Calibri"/>
                <w:sz w:val="22"/>
              </w:rPr>
              <w:t>10b5-1 planned sale; routine scheduled transaction</w:t>
            </w:r>
          </w:p>
        </w:tc>
      </w:tr>
      <w:tr>
        <w:tc>
          <w:tcPr>
            <w:tcW w:type="dxa" w:w="1440"/>
          </w:tcPr>
          <w:p>
            <w:r>
              <w:rPr>
                <w:rFonts w:ascii="Calibri" w:hAnsi="Calibri"/>
                <w:sz w:val="22"/>
              </w:rPr>
              <w:t>Powell, Aaron</w:t>
            </w:r>
          </w:p>
        </w:tc>
        <w:tc>
          <w:tcPr>
            <w:tcW w:type="dxa" w:w="1440"/>
          </w:tcPr>
          <w:p>
            <w:r>
              <w:rPr>
                <w:rFonts w:ascii="Calibri" w:hAnsi="Calibri"/>
                <w:sz w:val="22"/>
              </w:rPr>
              <w:t>CEO — Pizza Hut</w:t>
            </w:r>
          </w:p>
        </w:tc>
        <w:tc>
          <w:tcPr>
            <w:tcW w:type="dxa" w:w="1440"/>
          </w:tcPr>
          <w:p>
            <w:r>
              <w:rPr>
                <w:rFonts w:ascii="Calibri" w:hAnsi="Calibri"/>
                <w:sz w:val="22"/>
              </w:rPr>
              <w:t>Open Market Sale</w:t>
            </w:r>
          </w:p>
        </w:tc>
        <w:tc>
          <w:tcPr>
            <w:tcW w:type="dxa" w:w="1440"/>
          </w:tcPr>
          <w:p>
            <w:r>
              <w:rPr>
                <w:rFonts w:ascii="Calibri" w:hAnsi="Calibri"/>
                <w:sz w:val="22"/>
              </w:rPr>
              <w:t>6,001 shares</w:t>
            </w:r>
          </w:p>
        </w:tc>
        <w:tc>
          <w:tcPr>
            <w:tcW w:type="dxa" w:w="1440"/>
          </w:tcPr>
          <w:p>
            <w:r>
              <w:rPr>
                <w:rFonts w:ascii="Calibri" w:hAnsi="Calibri"/>
                <w:sz w:val="22"/>
              </w:rPr>
              <w:t>Jul 1, 2026</w:t>
            </w:r>
          </w:p>
        </w:tc>
        <w:tc>
          <w:tcPr>
            <w:tcW w:type="dxa" w:w="1440"/>
          </w:tcPr>
          <w:p>
            <w:r>
              <w:rPr>
                <w:rFonts w:ascii="Calibri" w:hAnsi="Calibri"/>
                <w:sz w:val="22"/>
              </w:rPr>
              <w:t>10b5-1 planned sale; large in share count but routine given PH divestiture context</w:t>
            </w:r>
          </w:p>
        </w:tc>
      </w:tr>
      <w:tr>
        <w:tc>
          <w:tcPr>
            <w:tcW w:type="dxa" w:w="1440"/>
          </w:tcPr>
          <w:p>
            <w:r>
              <w:rPr>
                <w:rFonts w:ascii="Calibri" w:hAnsi="Calibri"/>
                <w:sz w:val="22"/>
              </w:rPr>
              <w:t>Mezvinsky, Scott</w:t>
            </w:r>
          </w:p>
        </w:tc>
        <w:tc>
          <w:tcPr>
            <w:tcW w:type="dxa" w:w="1440"/>
          </w:tcPr>
          <w:p>
            <w:r>
              <w:rPr>
                <w:rFonts w:ascii="Calibri" w:hAnsi="Calibri"/>
                <w:sz w:val="22"/>
              </w:rPr>
              <w:t>KFC Division CEO</w:t>
            </w:r>
          </w:p>
        </w:tc>
        <w:tc>
          <w:tcPr>
            <w:tcW w:type="dxa" w:w="1440"/>
          </w:tcPr>
          <w:p>
            <w:r>
              <w:rPr>
                <w:rFonts w:ascii="Calibri" w:hAnsi="Calibri"/>
                <w:sz w:val="22"/>
              </w:rPr>
              <w:t>Open Market Sale</w:t>
            </w:r>
          </w:p>
        </w:tc>
        <w:tc>
          <w:tcPr>
            <w:tcW w:type="dxa" w:w="1440"/>
          </w:tcPr>
          <w:p>
            <w:r>
              <w:rPr>
                <w:rFonts w:ascii="Calibri" w:hAnsi="Calibri"/>
                <w:sz w:val="22"/>
              </w:rPr>
              <w:t>277 shares</w:t>
            </w:r>
          </w:p>
        </w:tc>
        <w:tc>
          <w:tcPr>
            <w:tcW w:type="dxa" w:w="1440"/>
          </w:tcPr>
          <w:p>
            <w:r>
              <w:rPr>
                <w:rFonts w:ascii="Calibri" w:hAnsi="Calibri"/>
                <w:sz w:val="22"/>
              </w:rPr>
              <w:t>Jul 1, 2026</w:t>
            </w:r>
          </w:p>
        </w:tc>
        <w:tc>
          <w:tcPr>
            <w:tcW w:type="dxa" w:w="1440"/>
          </w:tcPr>
          <w:p>
            <w:r>
              <w:rPr>
                <w:rFonts w:ascii="Calibri" w:hAnsi="Calibri"/>
                <w:sz w:val="22"/>
              </w:rPr>
              <w:t>10b5-1 planned sale; volume_owned_eod = 0 (fully sold position under plan)</w:t>
            </w:r>
          </w:p>
        </w:tc>
      </w:tr>
      <w:tr>
        <w:tc>
          <w:tcPr>
            <w:tcW w:type="dxa" w:w="1440"/>
          </w:tcPr>
          <w:p>
            <w:r>
              <w:rPr>
                <w:rFonts w:ascii="Calibri" w:hAnsi="Calibri"/>
                <w:sz w:val="22"/>
              </w:rPr>
              <w:t>Turner, Christopher Lee</w:t>
            </w:r>
          </w:p>
        </w:tc>
        <w:tc>
          <w:tcPr>
            <w:tcW w:type="dxa" w:w="1440"/>
          </w:tcPr>
          <w:p>
            <w:r>
              <w:rPr>
                <w:rFonts w:ascii="Calibri" w:hAnsi="Calibri"/>
                <w:sz w:val="22"/>
              </w:rPr>
              <w:t>CEO, Chairman of Board, Director</w:t>
            </w:r>
          </w:p>
        </w:tc>
        <w:tc>
          <w:tcPr>
            <w:tcW w:type="dxa" w:w="1440"/>
          </w:tcPr>
          <w:p>
            <w:r>
              <w:rPr>
                <w:rFonts w:ascii="Calibri" w:hAnsi="Calibri"/>
                <w:sz w:val="22"/>
              </w:rPr>
              <w:t>Open Market Sale</w:t>
            </w:r>
          </w:p>
        </w:tc>
        <w:tc>
          <w:tcPr>
            <w:tcW w:type="dxa" w:w="1440"/>
          </w:tcPr>
          <w:p>
            <w:r>
              <w:rPr>
                <w:rFonts w:ascii="Calibri" w:hAnsi="Calibri"/>
                <w:sz w:val="22"/>
              </w:rPr>
              <w:t>270 shares</w:t>
            </w:r>
          </w:p>
        </w:tc>
        <w:tc>
          <w:tcPr>
            <w:tcW w:type="dxa" w:w="1440"/>
          </w:tcPr>
          <w:p>
            <w:r>
              <w:rPr>
                <w:rFonts w:ascii="Calibri" w:hAnsi="Calibri"/>
                <w:sz w:val="22"/>
              </w:rPr>
              <w:t>Jun 1, 2026</w:t>
            </w:r>
          </w:p>
        </w:tc>
        <w:tc>
          <w:tcPr>
            <w:tcW w:type="dxa" w:w="1440"/>
          </w:tcPr>
          <w:p>
            <w:r>
              <w:rPr>
                <w:rFonts w:ascii="Calibri" w:hAnsi="Calibri"/>
                <w:sz w:val="22"/>
              </w:rPr>
              <w:t>10b5-1 planned sale; routine monthly scheduled transaction</w:t>
            </w:r>
          </w:p>
        </w:tc>
      </w:tr>
      <w:tr>
        <w:tc>
          <w:tcPr>
            <w:tcW w:type="dxa" w:w="1440"/>
          </w:tcPr>
          <w:p>
            <w:r>
              <w:rPr>
                <w:rFonts w:ascii="Calibri" w:hAnsi="Calibri"/>
                <w:sz w:val="22"/>
              </w:rPr>
              <w:t>Tresvant, Sean</w:t>
            </w:r>
          </w:p>
        </w:tc>
        <w:tc>
          <w:tcPr>
            <w:tcW w:type="dxa" w:w="1440"/>
          </w:tcPr>
          <w:p>
            <w:r>
              <w:rPr>
                <w:rFonts w:ascii="Calibri" w:hAnsi="Calibri"/>
                <w:sz w:val="22"/>
              </w:rPr>
              <w:t>Taco Bell CEO, YUM CCO</w:t>
            </w:r>
          </w:p>
        </w:tc>
        <w:tc>
          <w:tcPr>
            <w:tcW w:type="dxa" w:w="1440"/>
          </w:tcPr>
          <w:p>
            <w:r>
              <w:rPr>
                <w:rFonts w:ascii="Calibri" w:hAnsi="Calibri"/>
                <w:b/>
                <w:sz w:val="22"/>
              </w:rPr>
              <w:t>Open Market Sale</w:t>
            </w:r>
          </w:p>
        </w:tc>
        <w:tc>
          <w:tcPr>
            <w:tcW w:type="dxa" w:w="1440"/>
          </w:tcPr>
          <w:p>
            <w:r>
              <w:rPr>
                <w:rFonts w:ascii="Calibri" w:hAnsi="Calibri"/>
                <w:b/>
                <w:sz w:val="22"/>
              </w:rPr>
              <w:t>3,000 shares</w:t>
            </w:r>
          </w:p>
        </w:tc>
        <w:tc>
          <w:tcPr>
            <w:tcW w:type="dxa" w:w="1440"/>
          </w:tcPr>
          <w:p>
            <w:r>
              <w:rPr>
                <w:rFonts w:ascii="Calibri" w:hAnsi="Calibri"/>
                <w:sz w:val="22"/>
              </w:rPr>
              <w:t>May 26, 2026</w:t>
            </w:r>
          </w:p>
        </w:tc>
        <w:tc>
          <w:tcPr>
            <w:tcW w:type="dxa" w:w="1440"/>
          </w:tcPr>
          <w:p>
            <w:r>
              <w:rPr>
                <w:rFonts w:ascii="Calibri" w:hAnsi="Calibri"/>
                <w:sz w:val="22"/>
              </w:rPr>
              <w:t>NOT a 10b5-1 plan — discretionary sale; only non-planned transaction in the window; modest size (~$456K est.) but worth noting</w:t>
            </w:r>
          </w:p>
        </w:tc>
      </w:tr>
      <w:tr>
        <w:tc>
          <w:tcPr>
            <w:tcW w:type="dxa" w:w="1440"/>
          </w:tcPr>
          <w:p>
            <w:r>
              <w:rPr>
                <w:rFonts w:ascii="Calibri" w:hAnsi="Calibri"/>
                <w:sz w:val="22"/>
              </w:rPr>
              <w:t>Powell, Aaron</w:t>
            </w:r>
          </w:p>
        </w:tc>
        <w:tc>
          <w:tcPr>
            <w:tcW w:type="dxa" w:w="1440"/>
          </w:tcPr>
          <w:p>
            <w:r>
              <w:rPr>
                <w:rFonts w:ascii="Calibri" w:hAnsi="Calibri"/>
                <w:sz w:val="22"/>
              </w:rPr>
              <w:t>CEO — Pizza Hut</w:t>
            </w:r>
          </w:p>
        </w:tc>
        <w:tc>
          <w:tcPr>
            <w:tcW w:type="dxa" w:w="1440"/>
          </w:tcPr>
          <w:p>
            <w:r>
              <w:rPr>
                <w:rFonts w:ascii="Calibri" w:hAnsi="Calibri"/>
                <w:sz w:val="22"/>
              </w:rPr>
              <w:t>Open Market Sale</w:t>
            </w:r>
          </w:p>
        </w:tc>
        <w:tc>
          <w:tcPr>
            <w:tcW w:type="dxa" w:w="1440"/>
          </w:tcPr>
          <w:p>
            <w:r>
              <w:rPr>
                <w:rFonts w:ascii="Calibri" w:hAnsi="Calibri"/>
                <w:sz w:val="22"/>
              </w:rPr>
              <w:t>6,001 shares</w:t>
            </w:r>
          </w:p>
        </w:tc>
        <w:tc>
          <w:tcPr>
            <w:tcW w:type="dxa" w:w="1440"/>
          </w:tcPr>
          <w:p>
            <w:r>
              <w:rPr>
                <w:rFonts w:ascii="Calibri" w:hAnsi="Calibri"/>
                <w:sz w:val="22"/>
              </w:rPr>
              <w:t>May 19, 2026</w:t>
            </w:r>
          </w:p>
        </w:tc>
        <w:tc>
          <w:tcPr>
            <w:tcW w:type="dxa" w:w="1440"/>
          </w:tcPr>
          <w:p>
            <w:r>
              <w:rPr>
                <w:rFonts w:ascii="Calibri" w:hAnsi="Calibri"/>
                <w:sz w:val="22"/>
              </w:rPr>
              <w:t>10b5-1 planned sale; recurring monthly plan execution</w:t>
            </w:r>
          </w:p>
        </w:tc>
      </w:tr>
      <w:tr>
        <w:tc>
          <w:tcPr>
            <w:tcW w:type="dxa" w:w="1440"/>
          </w:tcPr>
          <w:p>
            <w:r>
              <w:rPr>
                <w:rFonts w:ascii="Calibri" w:hAnsi="Calibri"/>
                <w:sz w:val="22"/>
              </w:rPr>
              <w:t>Skeans, Tracy L</w:t>
            </w:r>
          </w:p>
        </w:tc>
        <w:tc>
          <w:tcPr>
            <w:tcW w:type="dxa" w:w="1440"/>
          </w:tcPr>
          <w:p>
            <w:r>
              <w:rPr>
                <w:rFonts w:ascii="Calibri" w:hAnsi="Calibri"/>
                <w:sz w:val="22"/>
              </w:rPr>
              <w:t>COO and CPO</w:t>
            </w:r>
          </w:p>
        </w:tc>
        <w:tc>
          <w:tcPr>
            <w:tcW w:type="dxa" w:w="1440"/>
          </w:tcPr>
          <w:p>
            <w:r>
              <w:rPr>
                <w:rFonts w:ascii="Calibri" w:hAnsi="Calibri"/>
                <w:sz w:val="22"/>
              </w:rPr>
              <w:t>Open Market Sale</w:t>
            </w:r>
          </w:p>
        </w:tc>
        <w:tc>
          <w:tcPr>
            <w:tcW w:type="dxa" w:w="1440"/>
          </w:tcPr>
          <w:p>
            <w:r>
              <w:rPr>
                <w:rFonts w:ascii="Calibri" w:hAnsi="Calibri"/>
                <w:sz w:val="22"/>
              </w:rPr>
              <w:t>1,837 shares</w:t>
            </w:r>
          </w:p>
        </w:tc>
        <w:tc>
          <w:tcPr>
            <w:tcW w:type="dxa" w:w="1440"/>
          </w:tcPr>
          <w:p>
            <w:r>
              <w:rPr>
                <w:rFonts w:ascii="Calibri" w:hAnsi="Calibri"/>
                <w:sz w:val="22"/>
              </w:rPr>
              <w:t>May 15, 2026</w:t>
            </w:r>
          </w:p>
        </w:tc>
        <w:tc>
          <w:tcPr>
            <w:tcW w:type="dxa" w:w="1440"/>
          </w:tcPr>
          <w:p>
            <w:r>
              <w:rPr>
                <w:rFonts w:ascii="Calibri" w:hAnsi="Calibri"/>
                <w:sz w:val="22"/>
              </w:rPr>
              <w:t>10b5-1 planned sale; routine scheduled transaction</w:t>
            </w:r>
          </w:p>
        </w:tc>
      </w:tr>
      <w:tr>
        <w:tc>
          <w:tcPr>
            <w:tcW w:type="dxa" w:w="1440"/>
          </w:tcPr>
          <w:p>
            <w:r>
              <w:rPr>
                <w:rFonts w:ascii="Calibri" w:hAnsi="Calibri"/>
                <w:sz w:val="22"/>
              </w:rPr>
              <w:t>Mezvinsky, Scott</w:t>
            </w:r>
          </w:p>
        </w:tc>
        <w:tc>
          <w:tcPr>
            <w:tcW w:type="dxa" w:w="1440"/>
          </w:tcPr>
          <w:p>
            <w:r>
              <w:rPr>
                <w:rFonts w:ascii="Calibri" w:hAnsi="Calibri"/>
                <w:sz w:val="22"/>
              </w:rPr>
              <w:t>KFC Division CEO</w:t>
            </w:r>
          </w:p>
        </w:tc>
        <w:tc>
          <w:tcPr>
            <w:tcW w:type="dxa" w:w="1440"/>
          </w:tcPr>
          <w:p>
            <w:r>
              <w:rPr>
                <w:rFonts w:ascii="Calibri" w:hAnsi="Calibri"/>
                <w:sz w:val="22"/>
              </w:rPr>
              <w:t>Open Market Sale</w:t>
            </w:r>
          </w:p>
        </w:tc>
        <w:tc>
          <w:tcPr>
            <w:tcW w:type="dxa" w:w="1440"/>
          </w:tcPr>
          <w:p>
            <w:r>
              <w:rPr>
                <w:rFonts w:ascii="Calibri" w:hAnsi="Calibri"/>
                <w:sz w:val="22"/>
              </w:rPr>
              <w:t>277 shares</w:t>
            </w:r>
          </w:p>
        </w:tc>
        <w:tc>
          <w:tcPr>
            <w:tcW w:type="dxa" w:w="1440"/>
          </w:tcPr>
          <w:p>
            <w:r>
              <w:rPr>
                <w:rFonts w:ascii="Calibri" w:hAnsi="Calibri"/>
                <w:sz w:val="22"/>
              </w:rPr>
              <w:t>May 1, 2026</w:t>
            </w:r>
          </w:p>
        </w:tc>
        <w:tc>
          <w:tcPr>
            <w:tcW w:type="dxa" w:w="1440"/>
          </w:tcPr>
          <w:p>
            <w:r>
              <w:rPr>
                <w:rFonts w:ascii="Calibri" w:hAnsi="Calibri"/>
                <w:sz w:val="22"/>
              </w:rPr>
              <w:t>10b5-1 planned sale; routine monthly plan execution</w:t>
            </w:r>
          </w:p>
        </w:tc>
      </w:tr>
      <w:tr>
        <w:tc>
          <w:tcPr>
            <w:tcW w:type="dxa" w:w="1440"/>
          </w:tcPr>
          <w:p>
            <w:r>
              <w:rPr>
                <w:rFonts w:ascii="Calibri" w:hAnsi="Calibri"/>
                <w:sz w:val="22"/>
              </w:rPr>
              <w:t>Turner, Christopher Lee</w:t>
            </w:r>
          </w:p>
        </w:tc>
        <w:tc>
          <w:tcPr>
            <w:tcW w:type="dxa" w:w="1440"/>
          </w:tcPr>
          <w:p>
            <w:r>
              <w:rPr>
                <w:rFonts w:ascii="Calibri" w:hAnsi="Calibri"/>
                <w:sz w:val="22"/>
              </w:rPr>
              <w:t>CEO, Chairman of Board, Director</w:t>
            </w:r>
          </w:p>
        </w:tc>
        <w:tc>
          <w:tcPr>
            <w:tcW w:type="dxa" w:w="1440"/>
          </w:tcPr>
          <w:p>
            <w:r>
              <w:rPr>
                <w:rFonts w:ascii="Calibri" w:hAnsi="Calibri"/>
                <w:sz w:val="22"/>
              </w:rPr>
              <w:t>Open Market Sale</w:t>
            </w:r>
          </w:p>
        </w:tc>
        <w:tc>
          <w:tcPr>
            <w:tcW w:type="dxa" w:w="1440"/>
          </w:tcPr>
          <w:p>
            <w:r>
              <w:rPr>
                <w:rFonts w:ascii="Calibri" w:hAnsi="Calibri"/>
                <w:sz w:val="22"/>
              </w:rPr>
              <w:t>250 shares</w:t>
            </w:r>
          </w:p>
        </w:tc>
        <w:tc>
          <w:tcPr>
            <w:tcW w:type="dxa" w:w="1440"/>
          </w:tcPr>
          <w:p>
            <w:r>
              <w:rPr>
                <w:rFonts w:ascii="Calibri" w:hAnsi="Calibri"/>
                <w:sz w:val="22"/>
              </w:rPr>
              <w:t>May 1, 2026</w:t>
            </w:r>
          </w:p>
        </w:tc>
        <w:tc>
          <w:tcPr>
            <w:tcW w:type="dxa" w:w="1440"/>
          </w:tcPr>
          <w:p>
            <w:r>
              <w:rPr>
                <w:rFonts w:ascii="Calibri" w:hAnsi="Calibri"/>
                <w:sz w:val="22"/>
              </w:rPr>
              <w:t>10b5-1 planned sale; routine monthly scheduled transaction</w:t>
            </w:r>
          </w:p>
        </w:tc>
      </w:tr>
    </w:tbl>
    <w:p>
      <w:r>
        <w:rPr>
          <w:rFonts w:ascii="Calibri" w:hAnsi="Calibri"/>
          <w:b/>
          <w:color w:val="525866"/>
          <w:sz w:val="22"/>
        </w:rPr>
        <w:t xml:space="preserve">Summary: </w:t>
      </w:r>
      <w:r>
        <w:rPr>
          <w:rFonts w:ascii="Calibri" w:hAnsi="Calibri"/>
          <w:color w:val="525866"/>
          <w:sz w:val="22"/>
        </w:rPr>
        <w:t>9 transactions since Q1 earnings, all sales, 8 of 9 under 10b5-1 plans (non-discretionary). The sole discretionary sale is Taco Bell CEO Sean Tresvant's 3,000-share sale on May 26 — not alarming given the size, but the only insider signal worth flagging. No open-market buys from any insider since Q1 earnings. Aaron Powell (Pizza Hut CEO) is executing recurring monthly 10b5-1 sales, consistent with pre-planned liquidation ahead of the divestiture. Source: Insider Transaction Data (SEC Form 4 Filings).</w:t>
      </w:r>
    </w:p>
    <w:sectPr w:rsidR="00FC693F" w:rsidRPr="0006063C"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