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Yum! Brands (YUM) — Q2 2026 Earnings Preview</w:t>
      </w:r>
    </w:p>
    <w:p>
      <w:r>
        <w:rPr>
          <w:rFonts w:ascii="Calibri" w:hAnsi="Calibri"/>
          <w:b/>
          <w:color w:val="525866"/>
          <w:sz w:val="22"/>
        </w:rPr>
        <w:t xml:space="preserve">Ticker: </w:t>
      </w:r>
      <w:r>
        <w:rPr>
          <w:rFonts w:ascii="Calibri" w:hAnsi="Calibri"/>
          <w:color w:val="525866"/>
          <w:sz w:val="22"/>
        </w:rPr>
        <w:t xml:space="preserve">YUM  </w:t>
      </w:r>
      <w:r>
        <w:rPr>
          <w:rFonts w:ascii="Calibri" w:hAnsi="Calibri"/>
          <w:b/>
          <w:color w:val="525866"/>
          <w:sz w:val="22"/>
        </w:rPr>
        <w:t xml:space="preserve">Earnings Date: </w:t>
      </w:r>
      <w:r>
        <w:rPr>
          <w:rFonts w:ascii="Calibri" w:hAnsi="Calibri"/>
          <w:color w:val="525866"/>
          <w:sz w:val="22"/>
        </w:rPr>
        <w:t xml:space="preserve">July 30, 2026 (Pre-Market)  </w:t>
      </w:r>
      <w:r>
        <w:rPr>
          <w:rFonts w:ascii="Calibri" w:hAnsi="Calibri"/>
          <w:b/>
          <w:color w:val="525866"/>
          <w:sz w:val="22"/>
        </w:rPr>
        <w:t xml:space="preserve">Prepared: </w:t>
      </w:r>
      <w:r>
        <w:rPr>
          <w:rFonts w:ascii="Calibri" w:hAnsi="Calibri"/>
          <w:color w:val="525866"/>
          <w:sz w:val="22"/>
        </w:rPr>
        <w:t xml:space="preserve">July 29, 2026  </w:t>
      </w:r>
      <w:r>
        <w:rPr>
          <w:rFonts w:ascii="Calibri" w:hAnsi="Calibri"/>
          <w:b/>
          <w:color w:val="525866"/>
          <w:sz w:val="22"/>
        </w:rPr>
        <w:t xml:space="preserve">Reporting Period: </w:t>
      </w:r>
      <w:r>
        <w:rPr>
          <w:rFonts w:ascii="Calibri" w:hAnsi="Calibri"/>
          <w:color w:val="525866"/>
          <w:sz w:val="22"/>
        </w:rPr>
        <w:t>Q2 2026 (Quarter Ended June 30, 2026)</w:t>
      </w:r>
    </w:p>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The setup is modestly constructive for KFC and the core franchise story, but the Taco Bell cyclospora outbreak is the single biggest swing factor — the print itself may beat on EPS, yet the call will be dominated by traffic damage and recovery trajectory at the brand that drives ~60% of Yum!'s ex-Pizza Hut operating profit.</w:t>
      </w:r>
    </w:p>
    <w:p>
      <w:r>
        <w:rPr>
          <w:rFonts w:ascii="Calibri" w:hAnsi="Calibri"/>
          <w:color w:val="525866"/>
          <w:sz w:val="22"/>
        </w:rPr>
        <w:t xml:space="preserve">Heading into Q2 2026, the consensus bar for Yum! looks achievable on a headline basis — Street EPS of $1.56 implies modest year-over-year growth and estimates have drifted slightly lower since the Q1 print, creating a low-to-moderate hurdle. </w:t>
      </w:r>
      <w:r>
        <w:rPr>
          <w:rFonts w:ascii="Calibri" w:hAnsi="Calibri"/>
          <w:color w:val="525866"/>
          <w:sz w:val="22"/>
        </w:rPr>
        <w:t xml:space="preserve">Taco Bell entered the quarter with extraordinary momentum (8% SSS in Q1, 18% two-year stack), and management raised full-year margin guidance at the last call, signaling genuine confidence in the brand's trajectory. </w:t>
      </w:r>
      <w:r>
        <w:rPr>
          <w:rFonts w:ascii="Calibri" w:hAnsi="Calibri"/>
          <w:color w:val="525866"/>
          <w:sz w:val="22"/>
        </w:rPr>
        <w:t xml:space="preserve">However, a cyclospora outbreak linked to Taylor Farms shredded iceberg lettuce supplied to Taco Bell was publicly identified in mid-July, with traffic at the chain reportedly down nearly 30% at the peak of the news cycle — a development that falls squarely in Q3 but will color every forward-looking comment on the call. </w:t>
      </w:r>
      <w:r>
        <w:rPr>
          <w:rFonts w:ascii="Calibri" w:hAnsi="Calibri"/>
          <w:color w:val="525866"/>
          <w:sz w:val="22"/>
        </w:rPr>
        <w:t xml:space="preserve">The stock has already absorbed a ~10% drawdown from its early-July highs, suggesting the market has partially priced in near-term Taco Bell disruption, though the duration and depth of the traffic recovery remain the key unknown. </w:t>
      </w:r>
      <w:r>
        <w:rPr>
          <w:rFonts w:ascii="Calibri" w:hAnsi="Calibri"/>
          <w:color w:val="525866"/>
          <w:sz w:val="22"/>
        </w:rPr>
        <w:t>The wildcard is the pace of Taco Bell's consumer trust recovery: if management can credibly frame the outbreak as supplier-driven, contained, and already resolved (the suspected lettuce was removed from supply), the stock could re-rate quickly; if the call reveals sustained traffic weakness into July or signals Q3 SSS guidance cuts, the multiple compression could deepen further.</w:t>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 xml:space="preserve">Consensus is a moderate bar on EPS and revenue, but </w:t>
      </w:r>
      <w:r>
        <w:rPr>
          <w:rFonts w:ascii="Calibri" w:hAnsi="Calibri"/>
          <w:b/>
          <w:color w:val="525866"/>
          <w:sz w:val="22"/>
        </w:rPr>
        <w:t>Taco Bell same-store sales is the swing KPI</w:t>
      </w:r>
      <w:r>
        <w:rPr>
          <w:rFonts w:ascii="Calibri" w:hAnsi="Calibri"/>
          <w:color w:val="525866"/>
          <w:sz w:val="22"/>
        </w:rPr>
        <w:t xml:space="preserve"> — Street is at +6.5% vs. the +8% print last quarter, and any miss here (especially if attributed to the cyclospora outbreak) will dominate the reaction. KFC SSS at ~+2% is a lower bar and less likely to surprise in either direction.</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 (Last Quarter)</w:t>
            </w:r>
          </w:p>
        </w:tc>
        <w:tc>
          <w:tcPr>
            <w:tcW w:type="dxa" w:w="1234"/>
            <w:shd w:val="clear" w:color="auto" w:fill="3B4259"/>
          </w:tcPr>
          <w:p>
            <w:r>
              <w:rPr>
                <w:rFonts w:ascii="Calibri" w:hAnsi="Calibri"/>
                <w:b/>
                <w:color w:val="FFFFFF"/>
                <w:sz w:val="22"/>
              </w:rPr>
              <w:t>Q2 2025 Actual (Prior Year)</w:t>
            </w:r>
          </w:p>
        </w:tc>
        <w:tc>
          <w:tcPr>
            <w:tcW w:type="dxa" w:w="1234"/>
            <w:shd w:val="clear" w:color="auto" w:fill="3B4259"/>
          </w:tcPr>
          <w:p>
            <w:r>
              <w:rPr>
                <w:rFonts w:ascii="Calibri" w:hAnsi="Calibri"/>
                <w:b/>
                <w:color w:val="FFFFFF"/>
                <w:sz w:val="22"/>
              </w:rPr>
              <w:t>Q2 2026 Consensus Estimate</w:t>
            </w:r>
          </w:p>
        </w:tc>
        <w:tc>
          <w:tcPr>
            <w:tcW w:type="dxa" w:w="1234"/>
            <w:shd w:val="clear" w:color="auto" w:fill="3B4259"/>
          </w:tcPr>
          <w:p>
            <w:r>
              <w:rPr>
                <w:rFonts w:ascii="Calibri" w:hAnsi="Calibri"/>
                <w:b/>
                <w:color w:val="FFFFFF"/>
                <w:sz w:val="22"/>
              </w:rPr>
              <w:t>YoY Change (Est. vs. PY)</w:t>
            </w:r>
          </w:p>
        </w:tc>
        <w:tc>
          <w:tcPr>
            <w:tcW w:type="dxa" w:w="1234"/>
            <w:shd w:val="clear" w:color="auto" w:fill="3B4259"/>
          </w:tcPr>
          <w:p>
            <w:r>
              <w:rPr>
                <w:rFonts w:ascii="Calibri" w:hAnsi="Calibri"/>
                <w:b/>
                <w:color w:val="FFFFFF"/>
                <w:sz w:val="22"/>
              </w:rPr>
              <w:t>Guidance (Last Call)</w:t>
            </w:r>
          </w:p>
        </w:tc>
        <w:tc>
          <w:tcPr>
            <w:tcW w:type="dxa" w:w="1234"/>
            <w:shd w:val="clear" w:color="auto" w:fill="3B4259"/>
          </w:tcPr>
          <w:p>
            <w:r>
              <w:rPr>
                <w:rFonts w:ascii="Calibri" w:hAnsi="Calibri"/>
                <w:b/>
                <w:color w:val="FFFFFF"/>
                <w:sz w:val="22"/>
              </w:rPr>
              <w:t>Consensus vs. Guidance</w:t>
            </w:r>
          </w:p>
        </w:tc>
      </w:tr>
      <w:tr>
        <w:tc>
          <w:tcPr>
            <w:tcW w:type="dxa" w:w="1234"/>
          </w:tcPr>
          <w:p>
            <w:r>
              <w:rPr>
                <w:rFonts w:ascii="Calibri" w:hAnsi="Calibri"/>
                <w:sz w:val="22"/>
              </w:rPr>
              <w:t>Adj. EPS (Diluted Operating)</w:t>
            </w:r>
          </w:p>
        </w:tc>
        <w:tc>
          <w:tcPr>
            <w:tcW w:type="dxa" w:w="1234"/>
          </w:tcPr>
          <w:p>
            <w:r>
              <w:rPr>
                <w:rFonts w:ascii="Calibri" w:hAnsi="Calibri"/>
                <w:sz w:val="22"/>
              </w:rPr>
              <w:t>$1.50</w:t>
            </w:r>
          </w:p>
        </w:tc>
        <w:tc>
          <w:tcPr>
            <w:tcW w:type="dxa" w:w="1234"/>
          </w:tcPr>
          <w:p>
            <w:r>
              <w:rPr>
                <w:rFonts w:ascii="Calibri" w:hAnsi="Calibri"/>
                <w:sz w:val="22"/>
              </w:rPr>
              <w:t>$1.44</w:t>
            </w:r>
          </w:p>
        </w:tc>
        <w:tc>
          <w:tcPr>
            <w:tcW w:type="dxa" w:w="1234"/>
          </w:tcPr>
          <w:p>
            <w:r>
              <w:rPr>
                <w:rFonts w:ascii="Calibri" w:hAnsi="Calibri"/>
                <w:sz w:val="22"/>
              </w:rPr>
              <w:t>$1.56</w:t>
            </w:r>
          </w:p>
        </w:tc>
        <w:tc>
          <w:tcPr>
            <w:tcW w:type="dxa" w:w="1234"/>
          </w:tcPr>
          <w:p>
            <w:r>
              <w:rPr>
                <w:rFonts w:ascii="Calibri" w:hAnsi="Calibri"/>
                <w:sz w:val="22"/>
              </w:rPr>
              <w:t>+8.3%</w:t>
            </w:r>
          </w:p>
        </w:tc>
        <w:tc>
          <w:tcPr>
            <w:tcW w:type="dxa" w:w="1234"/>
          </w:tcPr>
          <w:p>
            <w:r>
              <w:rPr>
                <w:rFonts w:ascii="Calibri" w:hAnsi="Calibri"/>
                <w:sz w:val="22"/>
              </w:rPr>
              <w:t>No specific Q2 guidance; LT algo ≥8% COP growth ex-PH</w:t>
            </w:r>
          </w:p>
        </w:tc>
        <w:tc>
          <w:tcPr>
            <w:tcW w:type="dxa" w:w="1234"/>
          </w:tcPr>
          <w:p>
            <w:r>
              <w:rPr>
                <w:rFonts w:ascii="Calibri" w:hAnsi="Calibri"/>
                <w:sz w:val="22"/>
              </w:rPr>
              <w:t>N/A (no Q2 EPS guidance)</w:t>
            </w:r>
          </w:p>
        </w:tc>
      </w:tr>
      <w:tr>
        <w:tc>
          <w:tcPr>
            <w:tcW w:type="dxa" w:w="1234"/>
          </w:tcPr>
          <w:p>
            <w:r>
              <w:rPr>
                <w:rFonts w:ascii="Calibri" w:hAnsi="Calibri"/>
                <w:sz w:val="22"/>
              </w:rPr>
              <w:t>Total Revenues</w:t>
            </w:r>
          </w:p>
        </w:tc>
        <w:tc>
          <w:tcPr>
            <w:tcW w:type="dxa" w:w="1234"/>
          </w:tcPr>
          <w:p>
            <w:r>
              <w:rPr>
                <w:rFonts w:ascii="Calibri" w:hAnsi="Calibri"/>
                <w:sz w:val="22"/>
              </w:rPr>
              <w:t>$2,059M</w:t>
            </w:r>
          </w:p>
        </w:tc>
        <w:tc>
          <w:tcPr>
            <w:tcW w:type="dxa" w:w="1234"/>
          </w:tcPr>
          <w:p>
            <w:r>
              <w:rPr>
                <w:rFonts w:ascii="Calibri" w:hAnsi="Calibri"/>
                <w:sz w:val="22"/>
              </w:rPr>
              <w:t>$1,933M</w:t>
            </w:r>
          </w:p>
        </w:tc>
        <w:tc>
          <w:tcPr>
            <w:tcW w:type="dxa" w:w="1234"/>
          </w:tcPr>
          <w:p>
            <w:r>
              <w:rPr>
                <w:rFonts w:ascii="Calibri" w:hAnsi="Calibri"/>
                <w:sz w:val="22"/>
              </w:rPr>
              <w:t>$2,177M</w:t>
            </w:r>
          </w:p>
        </w:tc>
        <w:tc>
          <w:tcPr>
            <w:tcW w:type="dxa" w:w="1234"/>
          </w:tcPr>
          <w:p>
            <w:r>
              <w:rPr>
                <w:rFonts w:ascii="Calibri" w:hAnsi="Calibri"/>
                <w:sz w:val="22"/>
              </w:rPr>
              <w:t>+12.6%</w:t>
            </w:r>
          </w:p>
        </w:tc>
        <w:tc>
          <w:tcPr>
            <w:tcW w:type="dxa" w:w="1234"/>
          </w:tcPr>
          <w:p>
            <w:r>
              <w:rPr>
                <w:rFonts w:ascii="Calibri" w:hAnsi="Calibri"/>
                <w:sz w:val="22"/>
              </w:rPr>
              <w:t>No specific Q2 revenue guidance</w:t>
            </w:r>
          </w:p>
        </w:tc>
        <w:tc>
          <w:tcPr>
            <w:tcW w:type="dxa" w:w="1234"/>
          </w:tcPr>
          <w:p>
            <w:r>
              <w:rPr>
                <w:rFonts w:ascii="Calibri" w:hAnsi="Calibri"/>
                <w:sz w:val="22"/>
              </w:rPr>
              <w:t>N/A</w:t>
            </w:r>
          </w:p>
        </w:tc>
      </w:tr>
      <w:tr>
        <w:tc>
          <w:tcPr>
            <w:tcW w:type="dxa" w:w="1234"/>
          </w:tcPr>
          <w:p>
            <w:r>
              <w:rPr>
                <w:rFonts w:ascii="Calibri" w:hAnsi="Calibri"/>
                <w:sz w:val="22"/>
              </w:rPr>
              <w:t>Taco Bell Same-Store Sales (%)</w:t>
            </w:r>
          </w:p>
        </w:tc>
        <w:tc>
          <w:tcPr>
            <w:tcW w:type="dxa" w:w="1234"/>
          </w:tcPr>
          <w:p>
            <w:r>
              <w:rPr>
                <w:rFonts w:ascii="Calibri" w:hAnsi="Calibri"/>
                <w:sz w:val="22"/>
              </w:rPr>
              <w:t>+8.0%</w:t>
            </w:r>
          </w:p>
        </w:tc>
        <w:tc>
          <w:tcPr>
            <w:tcW w:type="dxa" w:w="1234"/>
          </w:tcPr>
          <w:p>
            <w:r>
              <w:rPr>
                <w:rFonts w:ascii="Calibri" w:hAnsi="Calibri"/>
                <w:sz w:val="22"/>
              </w:rPr>
              <w:t>+4.0%</w:t>
            </w:r>
          </w:p>
        </w:tc>
        <w:tc>
          <w:tcPr>
            <w:tcW w:type="dxa" w:w="1234"/>
          </w:tcPr>
          <w:p>
            <w:r>
              <w:rPr>
                <w:rFonts w:ascii="Calibri" w:hAnsi="Calibri"/>
                <w:sz w:val="22"/>
              </w:rPr>
              <w:t>+6.5%</w:t>
            </w:r>
          </w:p>
        </w:tc>
        <w:tc>
          <w:tcPr>
            <w:tcW w:type="dxa" w:w="1234"/>
          </w:tcPr>
          <w:p>
            <w:r>
              <w:rPr>
                <w:rFonts w:ascii="Calibri" w:hAnsi="Calibri"/>
                <w:sz w:val="22"/>
              </w:rPr>
              <w:t>+250 bps YoY</w:t>
            </w:r>
          </w:p>
        </w:tc>
        <w:tc>
          <w:tcPr>
            <w:tcW w:type="dxa" w:w="1234"/>
          </w:tcPr>
          <w:p>
            <w:r>
              <w:rPr>
                <w:rFonts w:ascii="Calibri" w:hAnsi="Calibri"/>
                <w:sz w:val="22"/>
              </w:rPr>
              <w:t>Continued industry outperformance; no specific Q2 SSS guide</w:t>
            </w:r>
          </w:p>
        </w:tc>
        <w:tc>
          <w:tcPr>
            <w:tcW w:type="dxa" w:w="1234"/>
          </w:tcPr>
          <w:p>
            <w:r>
              <w:rPr>
                <w:rFonts w:ascii="Calibri" w:hAnsi="Calibri"/>
                <w:sz w:val="22"/>
              </w:rPr>
              <w:t>N/A (no SSS guidance)</w:t>
            </w:r>
          </w:p>
        </w:tc>
      </w:tr>
      <w:tr>
        <w:tc>
          <w:tcPr>
            <w:tcW w:type="dxa" w:w="1234"/>
          </w:tcPr>
          <w:p>
            <w:r>
              <w:rPr>
                <w:rFonts w:ascii="Calibri" w:hAnsi="Calibri"/>
                <w:sz w:val="22"/>
              </w:rPr>
              <w:t>KFC Same-Store Sales (%)</w:t>
            </w:r>
          </w:p>
        </w:tc>
        <w:tc>
          <w:tcPr>
            <w:tcW w:type="dxa" w:w="1234"/>
          </w:tcPr>
          <w:p>
            <w:r>
              <w:rPr>
                <w:rFonts w:ascii="Calibri" w:hAnsi="Calibri"/>
                <w:sz w:val="22"/>
              </w:rPr>
              <w:t>+2.0%</w:t>
            </w:r>
          </w:p>
        </w:tc>
        <w:tc>
          <w:tcPr>
            <w:tcW w:type="dxa" w:w="1234"/>
          </w:tcPr>
          <w:p>
            <w:r>
              <w:rPr>
                <w:rFonts w:ascii="Calibri" w:hAnsi="Calibri"/>
                <w:sz w:val="22"/>
              </w:rPr>
              <w:t>+2.0%</w:t>
            </w:r>
          </w:p>
        </w:tc>
        <w:tc>
          <w:tcPr>
            <w:tcW w:type="dxa" w:w="1234"/>
          </w:tcPr>
          <w:p>
            <w:r>
              <w:rPr>
                <w:rFonts w:ascii="Calibri" w:hAnsi="Calibri"/>
                <w:sz w:val="22"/>
              </w:rPr>
              <w:t>+2.0%</w:t>
            </w:r>
          </w:p>
        </w:tc>
        <w:tc>
          <w:tcPr>
            <w:tcW w:type="dxa" w:w="1234"/>
          </w:tcPr>
          <w:p>
            <w:r>
              <w:rPr>
                <w:rFonts w:ascii="Calibri" w:hAnsi="Calibri"/>
                <w:sz w:val="22"/>
              </w:rPr>
              <w:t>Flat YoY</w:t>
            </w:r>
          </w:p>
        </w:tc>
        <w:tc>
          <w:tcPr>
            <w:tcW w:type="dxa" w:w="1234"/>
          </w:tcPr>
          <w:p>
            <w:r>
              <w:rPr>
                <w:rFonts w:ascii="Calibri" w:hAnsi="Calibri"/>
                <w:sz w:val="22"/>
              </w:rPr>
              <w:t>No specific Q2 SSS guide; positive trajectory maintained</w:t>
            </w:r>
          </w:p>
        </w:tc>
        <w:tc>
          <w:tcPr>
            <w:tcW w:type="dxa" w:w="1234"/>
          </w:tcPr>
          <w:p>
            <w:r>
              <w:rPr>
                <w:rFonts w:ascii="Calibri" w:hAnsi="Calibri"/>
                <w:sz w:val="22"/>
              </w:rPr>
              <w:t>N/A</w:t>
            </w:r>
          </w:p>
        </w:tc>
      </w:tr>
      <w:tr>
        <w:tc>
          <w:tcPr>
            <w:tcW w:type="dxa" w:w="1234"/>
          </w:tcPr>
          <w:p>
            <w:r>
              <w:rPr>
                <w:rFonts w:ascii="Calibri" w:hAnsi="Calibri"/>
                <w:sz w:val="22"/>
              </w:rPr>
              <w:t>Net New Unit Additions (#)</w:t>
            </w:r>
          </w:p>
        </w:tc>
        <w:tc>
          <w:tcPr>
            <w:tcW w:type="dxa" w:w="1234"/>
          </w:tcPr>
          <w:p>
            <w:r>
              <w:rPr>
                <w:rFonts w:ascii="Calibri" w:hAnsi="Calibri"/>
                <w:sz w:val="22"/>
              </w:rPr>
              <w:t>+400</w:t>
            </w:r>
          </w:p>
        </w:tc>
        <w:tc>
          <w:tcPr>
            <w:tcW w:type="dxa" w:w="1234"/>
          </w:tcPr>
          <w:p>
            <w:r>
              <w:rPr>
                <w:rFonts w:ascii="Calibri" w:hAnsi="Calibri"/>
                <w:sz w:val="22"/>
              </w:rPr>
              <w:t>+386</w:t>
            </w:r>
          </w:p>
        </w:tc>
        <w:tc>
          <w:tcPr>
            <w:tcW w:type="dxa" w:w="1234"/>
          </w:tcPr>
          <w:p>
            <w:r>
              <w:rPr>
                <w:rFonts w:ascii="Calibri" w:hAnsi="Calibri"/>
                <w:sz w:val="22"/>
              </w:rPr>
              <w:t>-687 (consensus; reflects Pizza Hut divestiture impact)</w:t>
            </w:r>
          </w:p>
        </w:tc>
        <w:tc>
          <w:tcPr>
            <w:tcW w:type="dxa" w:w="1234"/>
          </w:tcPr>
          <w:p>
            <w:r>
              <w:rPr>
                <w:rFonts w:ascii="Calibri" w:hAnsi="Calibri"/>
                <w:sz w:val="22"/>
              </w:rPr>
              <w:t>N/M (PH divestiture distorts)</w:t>
            </w:r>
          </w:p>
        </w:tc>
        <w:tc>
          <w:tcPr>
            <w:tcW w:type="dxa" w:w="1234"/>
          </w:tcPr>
          <w:p>
            <w:r>
              <w:rPr>
                <w:rFonts w:ascii="Calibri" w:hAnsi="Calibri"/>
                <w:sz w:val="22"/>
              </w:rPr>
              <w:t>No change to KFC dev. plans; Taco Bell expanding market count</w:t>
            </w:r>
          </w:p>
        </w:tc>
        <w:tc>
          <w:tcPr>
            <w:tcW w:type="dxa" w:w="1234"/>
          </w:tcPr>
          <w:p>
            <w:r>
              <w:rPr>
                <w:rFonts w:ascii="Calibri" w:hAnsi="Calibri"/>
                <w:sz w:val="22"/>
              </w:rPr>
              <w:t>N/A</w:t>
            </w:r>
          </w:p>
        </w:tc>
      </w:tr>
      <w:tr>
        <w:tc>
          <w:tcPr>
            <w:tcW w:type="dxa" w:w="1234"/>
          </w:tcPr>
          <w:p>
            <w:r>
              <w:rPr>
                <w:rFonts w:ascii="Calibri" w:hAnsi="Calibri"/>
                <w:sz w:val="22"/>
              </w:rPr>
              <w:t>Taco Bell U.S. Restaurant-Level Margin (%)</w:t>
            </w:r>
          </w:p>
        </w:tc>
        <w:tc>
          <w:tcPr>
            <w:tcW w:type="dxa" w:w="1234"/>
          </w:tcPr>
          <w:p>
            <w:r>
              <w:rPr>
                <w:rFonts w:ascii="Calibri" w:hAnsi="Calibri"/>
                <w:sz w:val="22"/>
              </w:rPr>
              <w:t>23.9%</w:t>
            </w:r>
          </w:p>
        </w:tc>
        <w:tc>
          <w:tcPr>
            <w:tcW w:type="dxa" w:w="1234"/>
          </w:tcPr>
          <w:p>
            <w:r>
              <w:rPr>
                <w:rFonts w:ascii="Calibri" w:hAnsi="Calibri"/>
                <w:sz w:val="22"/>
              </w:rPr>
              <w:t>N/A — not in VA for Q2 2025</w:t>
            </w:r>
          </w:p>
        </w:tc>
        <w:tc>
          <w:tcPr>
            <w:tcW w:type="dxa" w:w="1234"/>
          </w:tcPr>
          <w:p>
            <w:r>
              <w:rPr>
                <w:rFonts w:ascii="Calibri" w:hAnsi="Calibri"/>
                <w:sz w:val="22"/>
              </w:rPr>
              <w:t>N/A — not in VA</w:t>
            </w:r>
          </w:p>
        </w:tc>
        <w:tc>
          <w:tcPr>
            <w:tcW w:type="dxa" w:w="1234"/>
          </w:tcPr>
          <w:p>
            <w:r>
              <w:rPr>
                <w:rFonts w:ascii="Calibri" w:hAnsi="Calibri"/>
                <w:sz w:val="22"/>
              </w:rPr>
              <w:t>N/A</w:t>
            </w:r>
          </w:p>
        </w:tc>
        <w:tc>
          <w:tcPr>
            <w:tcW w:type="dxa" w:w="1234"/>
          </w:tcPr>
          <w:p>
            <w:r>
              <w:rPr>
                <w:rFonts w:ascii="Calibri" w:hAnsi="Calibri"/>
                <w:sz w:val="22"/>
              </w:rPr>
              <w:t>24.5%–25.5% full year (raised at Q1 call)</w:t>
            </w:r>
          </w:p>
        </w:tc>
        <w:tc>
          <w:tcPr>
            <w:tcW w:type="dxa" w:w="1234"/>
          </w:tcPr>
          <w:p>
            <w:r>
              <w:rPr>
                <w:rFonts w:ascii="Calibri" w:hAnsi="Calibri"/>
                <w:sz w:val="22"/>
              </w:rPr>
              <w:t>N/A</w:t>
            </w:r>
          </w:p>
        </w:tc>
      </w:tr>
    </w:tbl>
    <w:p>
      <w:r>
        <w:rPr>
          <w:rFonts w:ascii="Calibri" w:hAnsi="Calibri"/>
          <w:color w:val="525866"/>
          <w:sz w:val="22"/>
        </w:rPr>
        <w:t>Sources: Visible Alpha Consensus and Actuals Data (EPS, Revenue, SSS, Net Additions); YUM Q1 2026 Earnings Release and Transcript (April 29, 2026). Net new unit consensus for Q2 2026 is heavily distorted by the pending Pizza Hut divestiture (expected to close Q3 2026); ex-Pizza Hut unit growth remains on track per management.</w:t>
      </w:r>
    </w:p>
    <w:p>
      <w:pPr>
        <w:pStyle w:val="Heading3"/>
      </w:pPr>
      <w:r>
        <w:rPr>
          <w:rFonts w:ascii="Calibri" w:hAnsi="Calibri"/>
          <w:b/>
          <w:color w:val="3B4259"/>
          <w:sz w:val="24"/>
        </w:rPr>
        <w:t>Table 2 — Beat/Miss History (Last 8 Quarters, Top 2 KPIs)</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Quarter</w:t>
            </w:r>
          </w:p>
        </w:tc>
        <w:tc>
          <w:tcPr>
            <w:tcW w:type="dxa" w:w="1440"/>
            <w:shd w:val="clear" w:color="auto" w:fill="3B4259"/>
          </w:tcPr>
          <w:p>
            <w:r>
              <w:rPr>
                <w:rFonts w:ascii="Calibri" w:hAnsi="Calibri"/>
                <w:b/>
                <w:color w:val="FFFFFF"/>
                <w:sz w:val="22"/>
              </w:rPr>
              <w:t>KPI</w:t>
            </w:r>
          </w:p>
        </w:tc>
        <w:tc>
          <w:tcPr>
            <w:tcW w:type="dxa" w:w="1440"/>
            <w:shd w:val="clear" w:color="auto" w:fill="3B4259"/>
          </w:tcPr>
          <w:p>
            <w:r>
              <w:rPr>
                <w:rFonts w:ascii="Calibri" w:hAnsi="Calibri"/>
                <w:b/>
                <w:color w:val="FFFFFF"/>
                <w:sz w:val="22"/>
              </w:rPr>
              <w:t>Reported</w:t>
            </w:r>
          </w:p>
        </w:tc>
        <w:tc>
          <w:tcPr>
            <w:tcW w:type="dxa" w:w="1440"/>
            <w:shd w:val="clear" w:color="auto" w:fill="3B4259"/>
          </w:tcPr>
          <w:p>
            <w:r>
              <w:rPr>
                <w:rFonts w:ascii="Calibri" w:hAnsi="Calibri"/>
                <w:b/>
                <w:color w:val="FFFFFF"/>
                <w:sz w:val="22"/>
              </w:rPr>
              <w:t>Consensus</w:t>
            </w:r>
          </w:p>
        </w:tc>
        <w:tc>
          <w:tcPr>
            <w:tcW w:type="dxa" w:w="1440"/>
            <w:shd w:val="clear" w:color="auto" w:fill="3B4259"/>
          </w:tcPr>
          <w:p>
            <w:r>
              <w:rPr>
                <w:rFonts w:ascii="Calibri" w:hAnsi="Calibri"/>
                <w:b/>
                <w:color w:val="FFFFFF"/>
                <w:sz w:val="22"/>
              </w:rPr>
              <w:t>Surprise %</w:t>
            </w:r>
          </w:p>
        </w:tc>
        <w:tc>
          <w:tcPr>
            <w:tcW w:type="dxa" w:w="1440"/>
            <w:shd w:val="clear" w:color="auto" w:fill="3B4259"/>
          </w:tcPr>
          <w:p>
            <w:r>
              <w:rPr>
                <w:rFonts w:ascii="Calibri" w:hAnsi="Calibri"/>
                <w:b/>
                <w:color w:val="FFFFFF"/>
                <w:sz w:val="22"/>
              </w:rPr>
              <w:t>Result</w:t>
            </w:r>
          </w:p>
        </w:tc>
      </w:tr>
      <w:tr>
        <w:tc>
          <w:tcPr>
            <w:tcW w:type="dxa" w:w="1440"/>
          </w:tcPr>
          <w:p>
            <w:r>
              <w:rPr>
                <w:rFonts w:ascii="Calibri" w:hAnsi="Calibri"/>
                <w:sz w:val="22"/>
              </w:rPr>
              <w:t>Q1 2026</w:t>
            </w:r>
          </w:p>
        </w:tc>
        <w:tc>
          <w:tcPr>
            <w:tcW w:type="dxa" w:w="1440"/>
          </w:tcPr>
          <w:p>
            <w:r>
              <w:rPr>
                <w:rFonts w:ascii="Calibri" w:hAnsi="Calibri"/>
                <w:sz w:val="22"/>
              </w:rPr>
              <w:t>Adj. EPS</w:t>
            </w:r>
          </w:p>
        </w:tc>
        <w:tc>
          <w:tcPr>
            <w:tcW w:type="dxa" w:w="1440"/>
          </w:tcPr>
          <w:p>
            <w:r>
              <w:rPr>
                <w:rFonts w:ascii="Calibri" w:hAnsi="Calibri"/>
                <w:sz w:val="22"/>
              </w:rPr>
              <w:t>$1.50</w:t>
            </w:r>
          </w:p>
        </w:tc>
        <w:tc>
          <w:tcPr>
            <w:tcW w:type="dxa" w:w="1440"/>
          </w:tcPr>
          <w:p>
            <w:r>
              <w:rPr>
                <w:rFonts w:ascii="Calibri" w:hAnsi="Calibri"/>
                <w:sz w:val="22"/>
              </w:rPr>
              <w:t>$1.38</w:t>
            </w:r>
          </w:p>
        </w:tc>
        <w:tc>
          <w:tcPr>
            <w:tcW w:type="dxa" w:w="1440"/>
          </w:tcPr>
          <w:p>
            <w:r>
              <w:rPr>
                <w:rFonts w:ascii="Calibri" w:hAnsi="Calibri"/>
                <w:b/>
                <w:color w:val="30A46C"/>
                <w:sz w:val="22"/>
              </w:rPr>
              <w:t>+8.7%</w:t>
            </w:r>
          </w:p>
        </w:tc>
        <w:tc>
          <w:tcPr>
            <w:tcW w:type="dxa" w:w="1440"/>
          </w:tcPr>
          <w:p>
            <w:r>
              <w:rPr>
                <w:rFonts w:ascii="Calibri" w:hAnsi="Calibri"/>
                <w:sz w:val="22"/>
              </w:rPr>
              <w:t>Beat</w:t>
            </w:r>
          </w:p>
        </w:tc>
      </w:tr>
      <w:tr>
        <w:tc>
          <w:tcPr>
            <w:tcW w:type="dxa" w:w="1440"/>
          </w:tcPr>
          <w:p>
            <w:r>
              <w:rPr>
                <w:rFonts w:ascii="Calibri" w:hAnsi="Calibri"/>
                <w:sz w:val="22"/>
              </w:rPr>
              <w:t>Q1 2026</w:t>
            </w:r>
          </w:p>
        </w:tc>
        <w:tc>
          <w:tcPr>
            <w:tcW w:type="dxa" w:w="1440"/>
          </w:tcPr>
          <w:p>
            <w:r>
              <w:rPr>
                <w:rFonts w:ascii="Calibri" w:hAnsi="Calibri"/>
                <w:sz w:val="22"/>
              </w:rPr>
              <w:t>Taco Bell SSS</w:t>
            </w:r>
          </w:p>
        </w:tc>
        <w:tc>
          <w:tcPr>
            <w:tcW w:type="dxa" w:w="1440"/>
          </w:tcPr>
          <w:p>
            <w:r>
              <w:rPr>
                <w:rFonts w:ascii="Calibri" w:hAnsi="Calibri"/>
                <w:sz w:val="22"/>
              </w:rPr>
              <w:t>+8.0%</w:t>
            </w:r>
          </w:p>
        </w:tc>
        <w:tc>
          <w:tcPr>
            <w:tcW w:type="dxa" w:w="1440"/>
          </w:tcPr>
          <w:p>
            <w:r>
              <w:rPr>
                <w:rFonts w:ascii="Calibri" w:hAnsi="Calibri"/>
                <w:sz w:val="22"/>
              </w:rPr>
              <w:t>+5.4%</w:t>
            </w:r>
          </w:p>
        </w:tc>
        <w:tc>
          <w:tcPr>
            <w:tcW w:type="dxa" w:w="1440"/>
          </w:tcPr>
          <w:p>
            <w:r>
              <w:rPr>
                <w:rFonts w:ascii="Calibri" w:hAnsi="Calibri"/>
                <w:b/>
                <w:color w:val="30A46C"/>
                <w:sz w:val="22"/>
              </w:rPr>
              <w:t>+260 bps</w:t>
            </w:r>
          </w:p>
        </w:tc>
        <w:tc>
          <w:tcPr>
            <w:tcW w:type="dxa" w:w="1440"/>
          </w:tcPr>
          <w:p>
            <w:r>
              <w:rPr>
                <w:rFonts w:ascii="Calibri" w:hAnsi="Calibri"/>
                <w:sz w:val="22"/>
              </w:rPr>
              <w:t>Beat</w:t>
            </w:r>
          </w:p>
        </w:tc>
      </w:tr>
      <w:tr>
        <w:tc>
          <w:tcPr>
            <w:tcW w:type="dxa" w:w="1440"/>
          </w:tcPr>
          <w:p>
            <w:r>
              <w:rPr>
                <w:rFonts w:ascii="Calibri" w:hAnsi="Calibri"/>
                <w:sz w:val="22"/>
              </w:rPr>
              <w:t>Q4 2025</w:t>
            </w:r>
          </w:p>
        </w:tc>
        <w:tc>
          <w:tcPr>
            <w:tcW w:type="dxa" w:w="1440"/>
          </w:tcPr>
          <w:p>
            <w:r>
              <w:rPr>
                <w:rFonts w:ascii="Calibri" w:hAnsi="Calibri"/>
                <w:sz w:val="22"/>
              </w:rPr>
              <w:t>Adj. EPS</w:t>
            </w:r>
          </w:p>
        </w:tc>
        <w:tc>
          <w:tcPr>
            <w:tcW w:type="dxa" w:w="1440"/>
          </w:tcPr>
          <w:p>
            <w:r>
              <w:rPr>
                <w:rFonts w:ascii="Calibri" w:hAnsi="Calibri"/>
                <w:sz w:val="22"/>
              </w:rPr>
              <w:t>$1.73</w:t>
            </w:r>
          </w:p>
        </w:tc>
        <w:tc>
          <w:tcPr>
            <w:tcW w:type="dxa" w:w="1440"/>
          </w:tcPr>
          <w:p>
            <w:r>
              <w:rPr>
                <w:rFonts w:ascii="Calibri" w:hAnsi="Calibri"/>
                <w:sz w:val="22"/>
              </w:rPr>
              <w:t>$1.75</w:t>
            </w:r>
          </w:p>
        </w:tc>
        <w:tc>
          <w:tcPr>
            <w:tcW w:type="dxa" w:w="1440"/>
          </w:tcPr>
          <w:p>
            <w:r>
              <w:rPr>
                <w:rFonts w:ascii="Calibri" w:hAnsi="Calibri"/>
                <w:b/>
                <w:color w:val="E5484D"/>
                <w:sz w:val="22"/>
              </w:rPr>
              <w:t>-1.1%</w:t>
            </w:r>
          </w:p>
        </w:tc>
        <w:tc>
          <w:tcPr>
            <w:tcW w:type="dxa" w:w="1440"/>
          </w:tcPr>
          <w:p>
            <w:r>
              <w:rPr>
                <w:rFonts w:ascii="Calibri" w:hAnsi="Calibri"/>
                <w:sz w:val="22"/>
              </w:rPr>
              <w:t>Miss</w:t>
            </w:r>
          </w:p>
        </w:tc>
      </w:tr>
      <w:tr>
        <w:tc>
          <w:tcPr>
            <w:tcW w:type="dxa" w:w="1440"/>
          </w:tcPr>
          <w:p>
            <w:r>
              <w:rPr>
                <w:rFonts w:ascii="Calibri" w:hAnsi="Calibri"/>
                <w:sz w:val="22"/>
              </w:rPr>
              <w:t>Q4 2025</w:t>
            </w:r>
          </w:p>
        </w:tc>
        <w:tc>
          <w:tcPr>
            <w:tcW w:type="dxa" w:w="1440"/>
          </w:tcPr>
          <w:p>
            <w:r>
              <w:rPr>
                <w:rFonts w:ascii="Calibri" w:hAnsi="Calibri"/>
                <w:sz w:val="22"/>
              </w:rPr>
              <w:t>Taco Bell SSS</w:t>
            </w:r>
          </w:p>
        </w:tc>
        <w:tc>
          <w:tcPr>
            <w:tcW w:type="dxa" w:w="1440"/>
          </w:tcPr>
          <w:p>
            <w:r>
              <w:rPr>
                <w:rFonts w:ascii="Calibri" w:hAnsi="Calibri"/>
                <w:sz w:val="22"/>
              </w:rPr>
              <w:t>+7.0%</w:t>
            </w:r>
          </w:p>
        </w:tc>
        <w:tc>
          <w:tcPr>
            <w:tcW w:type="dxa" w:w="1440"/>
          </w:tcPr>
          <w:p>
            <w:r>
              <w:rPr>
                <w:rFonts w:ascii="Calibri" w:hAnsi="Calibri"/>
                <w:sz w:val="22"/>
              </w:rPr>
              <w:t>+5.3%</w:t>
            </w:r>
          </w:p>
        </w:tc>
        <w:tc>
          <w:tcPr>
            <w:tcW w:type="dxa" w:w="1440"/>
          </w:tcPr>
          <w:p>
            <w:r>
              <w:rPr>
                <w:rFonts w:ascii="Calibri" w:hAnsi="Calibri"/>
                <w:b/>
                <w:color w:val="30A46C"/>
                <w:sz w:val="22"/>
              </w:rPr>
              <w:t>+170 bps</w:t>
            </w:r>
          </w:p>
        </w:tc>
        <w:tc>
          <w:tcPr>
            <w:tcW w:type="dxa" w:w="1440"/>
          </w:tcPr>
          <w:p>
            <w:r>
              <w:rPr>
                <w:rFonts w:ascii="Calibri" w:hAnsi="Calibri"/>
                <w:sz w:val="22"/>
              </w:rPr>
              <w:t>Beat</w:t>
            </w:r>
          </w:p>
        </w:tc>
      </w:tr>
      <w:tr>
        <w:tc>
          <w:tcPr>
            <w:tcW w:type="dxa" w:w="1440"/>
          </w:tcPr>
          <w:p>
            <w:r>
              <w:rPr>
                <w:rFonts w:ascii="Calibri" w:hAnsi="Calibri"/>
                <w:sz w:val="22"/>
              </w:rPr>
              <w:t>Q3 2025</w:t>
            </w:r>
          </w:p>
        </w:tc>
        <w:tc>
          <w:tcPr>
            <w:tcW w:type="dxa" w:w="1440"/>
          </w:tcPr>
          <w:p>
            <w:r>
              <w:rPr>
                <w:rFonts w:ascii="Calibri" w:hAnsi="Calibri"/>
                <w:sz w:val="22"/>
              </w:rPr>
              <w:t>Adj. EPS</w:t>
            </w:r>
          </w:p>
        </w:tc>
        <w:tc>
          <w:tcPr>
            <w:tcW w:type="dxa" w:w="1440"/>
          </w:tcPr>
          <w:p>
            <w:r>
              <w:rPr>
                <w:rFonts w:ascii="Calibri" w:hAnsi="Calibri"/>
                <w:sz w:val="22"/>
              </w:rPr>
              <w:t>$1.58</w:t>
            </w:r>
          </w:p>
        </w:tc>
        <w:tc>
          <w:tcPr>
            <w:tcW w:type="dxa" w:w="1440"/>
          </w:tcPr>
          <w:p>
            <w:r>
              <w:rPr>
                <w:rFonts w:ascii="Calibri" w:hAnsi="Calibri"/>
                <w:sz w:val="22"/>
              </w:rPr>
              <w:t>$1.49</w:t>
            </w:r>
          </w:p>
        </w:tc>
        <w:tc>
          <w:tcPr>
            <w:tcW w:type="dxa" w:w="1440"/>
          </w:tcPr>
          <w:p>
            <w:r>
              <w:rPr>
                <w:rFonts w:ascii="Calibri" w:hAnsi="Calibri"/>
                <w:b/>
                <w:color w:val="30A46C"/>
                <w:sz w:val="22"/>
              </w:rPr>
              <w:t>+6.0%</w:t>
            </w:r>
          </w:p>
        </w:tc>
        <w:tc>
          <w:tcPr>
            <w:tcW w:type="dxa" w:w="1440"/>
          </w:tcPr>
          <w:p>
            <w:r>
              <w:rPr>
                <w:rFonts w:ascii="Calibri" w:hAnsi="Calibri"/>
                <w:sz w:val="22"/>
              </w:rPr>
              <w:t>Beat</w:t>
            </w:r>
          </w:p>
        </w:tc>
      </w:tr>
      <w:tr>
        <w:tc>
          <w:tcPr>
            <w:tcW w:type="dxa" w:w="1440"/>
          </w:tcPr>
          <w:p>
            <w:r>
              <w:rPr>
                <w:rFonts w:ascii="Calibri" w:hAnsi="Calibri"/>
                <w:sz w:val="22"/>
              </w:rPr>
              <w:t>Q3 2025</w:t>
            </w:r>
          </w:p>
        </w:tc>
        <w:tc>
          <w:tcPr>
            <w:tcW w:type="dxa" w:w="1440"/>
          </w:tcPr>
          <w:p>
            <w:r>
              <w:rPr>
                <w:rFonts w:ascii="Calibri" w:hAnsi="Calibri"/>
                <w:sz w:val="22"/>
              </w:rPr>
              <w:t>Taco Bell SSS</w:t>
            </w:r>
          </w:p>
        </w:tc>
        <w:tc>
          <w:tcPr>
            <w:tcW w:type="dxa" w:w="1440"/>
          </w:tcPr>
          <w:p>
            <w:r>
              <w:rPr>
                <w:rFonts w:ascii="Calibri" w:hAnsi="Calibri"/>
                <w:sz w:val="22"/>
              </w:rPr>
              <w:t>+7.0%</w:t>
            </w:r>
          </w:p>
        </w:tc>
        <w:tc>
          <w:tcPr>
            <w:tcW w:type="dxa" w:w="1440"/>
          </w:tcPr>
          <w:p>
            <w:r>
              <w:rPr>
                <w:rFonts w:ascii="Calibri" w:hAnsi="Calibri"/>
                <w:sz w:val="22"/>
              </w:rPr>
              <w:t>+5.2%</w:t>
            </w:r>
          </w:p>
        </w:tc>
        <w:tc>
          <w:tcPr>
            <w:tcW w:type="dxa" w:w="1440"/>
          </w:tcPr>
          <w:p>
            <w:r>
              <w:rPr>
                <w:rFonts w:ascii="Calibri" w:hAnsi="Calibri"/>
                <w:b/>
                <w:color w:val="30A46C"/>
                <w:sz w:val="22"/>
              </w:rPr>
              <w:t>+180 bps</w:t>
            </w:r>
          </w:p>
        </w:tc>
        <w:tc>
          <w:tcPr>
            <w:tcW w:type="dxa" w:w="1440"/>
          </w:tcPr>
          <w:p>
            <w:r>
              <w:rPr>
                <w:rFonts w:ascii="Calibri" w:hAnsi="Calibri"/>
                <w:sz w:val="22"/>
              </w:rPr>
              <w:t>Beat</w:t>
            </w:r>
          </w:p>
        </w:tc>
      </w:tr>
      <w:tr>
        <w:tc>
          <w:tcPr>
            <w:tcW w:type="dxa" w:w="1440"/>
          </w:tcPr>
          <w:p>
            <w:r>
              <w:rPr>
                <w:rFonts w:ascii="Calibri" w:hAnsi="Calibri"/>
                <w:sz w:val="22"/>
              </w:rPr>
              <w:t>Q2 2025</w:t>
            </w:r>
          </w:p>
        </w:tc>
        <w:tc>
          <w:tcPr>
            <w:tcW w:type="dxa" w:w="1440"/>
          </w:tcPr>
          <w:p>
            <w:r>
              <w:rPr>
                <w:rFonts w:ascii="Calibri" w:hAnsi="Calibri"/>
                <w:sz w:val="22"/>
              </w:rPr>
              <w:t>Adj. EPS</w:t>
            </w:r>
          </w:p>
        </w:tc>
        <w:tc>
          <w:tcPr>
            <w:tcW w:type="dxa" w:w="1440"/>
          </w:tcPr>
          <w:p>
            <w:r>
              <w:rPr>
                <w:rFonts w:ascii="Calibri" w:hAnsi="Calibri"/>
                <w:sz w:val="22"/>
              </w:rPr>
              <w:t>$1.44</w:t>
            </w:r>
          </w:p>
        </w:tc>
        <w:tc>
          <w:tcPr>
            <w:tcW w:type="dxa" w:w="1440"/>
          </w:tcPr>
          <w:p>
            <w:r>
              <w:rPr>
                <w:rFonts w:ascii="Calibri" w:hAnsi="Calibri"/>
                <w:sz w:val="22"/>
              </w:rPr>
              <w:t>$1.46</w:t>
            </w:r>
          </w:p>
        </w:tc>
        <w:tc>
          <w:tcPr>
            <w:tcW w:type="dxa" w:w="1440"/>
          </w:tcPr>
          <w:p>
            <w:r>
              <w:rPr>
                <w:rFonts w:ascii="Calibri" w:hAnsi="Calibri"/>
                <w:b/>
                <w:color w:val="E5484D"/>
                <w:sz w:val="22"/>
              </w:rPr>
              <w:t>-1.4%</w:t>
            </w:r>
          </w:p>
        </w:tc>
        <w:tc>
          <w:tcPr>
            <w:tcW w:type="dxa" w:w="1440"/>
          </w:tcPr>
          <w:p>
            <w:r>
              <w:rPr>
                <w:rFonts w:ascii="Calibri" w:hAnsi="Calibri"/>
                <w:sz w:val="22"/>
              </w:rPr>
              <w:t>Miss</w:t>
            </w:r>
          </w:p>
        </w:tc>
      </w:tr>
      <w:tr>
        <w:tc>
          <w:tcPr>
            <w:tcW w:type="dxa" w:w="1440"/>
          </w:tcPr>
          <w:p>
            <w:r>
              <w:rPr>
                <w:rFonts w:ascii="Calibri" w:hAnsi="Calibri"/>
                <w:sz w:val="22"/>
              </w:rPr>
              <w:t>Q2 2025</w:t>
            </w:r>
          </w:p>
        </w:tc>
        <w:tc>
          <w:tcPr>
            <w:tcW w:type="dxa" w:w="1440"/>
          </w:tcPr>
          <w:p>
            <w:r>
              <w:rPr>
                <w:rFonts w:ascii="Calibri" w:hAnsi="Calibri"/>
                <w:sz w:val="22"/>
              </w:rPr>
              <w:t>Taco Bell SSS</w:t>
            </w:r>
          </w:p>
        </w:tc>
        <w:tc>
          <w:tcPr>
            <w:tcW w:type="dxa" w:w="1440"/>
          </w:tcPr>
          <w:p>
            <w:r>
              <w:rPr>
                <w:rFonts w:ascii="Calibri" w:hAnsi="Calibri"/>
                <w:sz w:val="22"/>
              </w:rPr>
              <w:t>+4.0%</w:t>
            </w:r>
          </w:p>
        </w:tc>
        <w:tc>
          <w:tcPr>
            <w:tcW w:type="dxa" w:w="1440"/>
          </w:tcPr>
          <w:p>
            <w:r>
              <w:rPr>
                <w:rFonts w:ascii="Calibri" w:hAnsi="Calibri"/>
                <w:sz w:val="22"/>
              </w:rPr>
              <w:t>+5.1%</w:t>
            </w:r>
          </w:p>
        </w:tc>
        <w:tc>
          <w:tcPr>
            <w:tcW w:type="dxa" w:w="1440"/>
          </w:tcPr>
          <w:p>
            <w:r>
              <w:rPr>
                <w:rFonts w:ascii="Calibri" w:hAnsi="Calibri"/>
                <w:b/>
                <w:color w:val="E5484D"/>
                <w:sz w:val="22"/>
              </w:rPr>
              <w:t>-110 bps</w:t>
            </w:r>
          </w:p>
        </w:tc>
        <w:tc>
          <w:tcPr>
            <w:tcW w:type="dxa" w:w="1440"/>
          </w:tcPr>
          <w:p>
            <w:r>
              <w:rPr>
                <w:rFonts w:ascii="Calibri" w:hAnsi="Calibri"/>
                <w:sz w:val="22"/>
              </w:rPr>
              <w:t>Miss</w:t>
            </w:r>
          </w:p>
        </w:tc>
      </w:tr>
      <w:tr>
        <w:tc>
          <w:tcPr>
            <w:tcW w:type="dxa" w:w="1440"/>
          </w:tcPr>
          <w:p>
            <w:r>
              <w:rPr>
                <w:rFonts w:ascii="Calibri" w:hAnsi="Calibri"/>
                <w:sz w:val="22"/>
              </w:rPr>
              <w:t>Q1 2025</w:t>
            </w:r>
          </w:p>
        </w:tc>
        <w:tc>
          <w:tcPr>
            <w:tcW w:type="dxa" w:w="1440"/>
          </w:tcPr>
          <w:p>
            <w:r>
              <w:rPr>
                <w:rFonts w:ascii="Calibri" w:hAnsi="Calibri"/>
                <w:sz w:val="22"/>
              </w:rPr>
              <w:t>Adj. EPS</w:t>
            </w:r>
          </w:p>
        </w:tc>
        <w:tc>
          <w:tcPr>
            <w:tcW w:type="dxa" w:w="1440"/>
          </w:tcPr>
          <w:p>
            <w:r>
              <w:rPr>
                <w:rFonts w:ascii="Calibri" w:hAnsi="Calibri"/>
                <w:sz w:val="22"/>
              </w:rPr>
              <w:t>$1.30</w:t>
            </w:r>
          </w:p>
        </w:tc>
        <w:tc>
          <w:tcPr>
            <w:tcW w:type="dxa" w:w="1440"/>
          </w:tcPr>
          <w:p>
            <w:r>
              <w:rPr>
                <w:rFonts w:ascii="Calibri" w:hAnsi="Calibri"/>
                <w:sz w:val="22"/>
              </w:rPr>
              <w:t>$1.29</w:t>
            </w:r>
          </w:p>
        </w:tc>
        <w:tc>
          <w:tcPr>
            <w:tcW w:type="dxa" w:w="1440"/>
          </w:tcPr>
          <w:p>
            <w:r>
              <w:rPr>
                <w:rFonts w:ascii="Calibri" w:hAnsi="Calibri"/>
                <w:sz w:val="22"/>
              </w:rPr>
              <w:t>+0.8%</w:t>
            </w:r>
          </w:p>
        </w:tc>
        <w:tc>
          <w:tcPr>
            <w:tcW w:type="dxa" w:w="1440"/>
          </w:tcPr>
          <w:p>
            <w:r>
              <w:rPr>
                <w:rFonts w:ascii="Calibri" w:hAnsi="Calibri"/>
                <w:sz w:val="22"/>
              </w:rPr>
              <w:t>In-Line</w:t>
            </w:r>
          </w:p>
        </w:tc>
      </w:tr>
      <w:tr>
        <w:tc>
          <w:tcPr>
            <w:tcW w:type="dxa" w:w="1440"/>
          </w:tcPr>
          <w:p>
            <w:r>
              <w:rPr>
                <w:rFonts w:ascii="Calibri" w:hAnsi="Calibri"/>
                <w:sz w:val="22"/>
              </w:rPr>
              <w:t>Q1 2025</w:t>
            </w:r>
          </w:p>
        </w:tc>
        <w:tc>
          <w:tcPr>
            <w:tcW w:type="dxa" w:w="1440"/>
          </w:tcPr>
          <w:p>
            <w:r>
              <w:rPr>
                <w:rFonts w:ascii="Calibri" w:hAnsi="Calibri"/>
                <w:sz w:val="22"/>
              </w:rPr>
              <w:t>Taco Bell SSS</w:t>
            </w:r>
          </w:p>
        </w:tc>
        <w:tc>
          <w:tcPr>
            <w:tcW w:type="dxa" w:w="1440"/>
          </w:tcPr>
          <w:p>
            <w:r>
              <w:rPr>
                <w:rFonts w:ascii="Calibri" w:hAnsi="Calibri"/>
                <w:sz w:val="22"/>
              </w:rPr>
              <w:t>+9.0%</w:t>
            </w:r>
          </w:p>
        </w:tc>
        <w:tc>
          <w:tcPr>
            <w:tcW w:type="dxa" w:w="1440"/>
          </w:tcPr>
          <w:p>
            <w:r>
              <w:rPr>
                <w:rFonts w:ascii="Calibri" w:hAnsi="Calibri"/>
                <w:sz w:val="22"/>
              </w:rPr>
              <w:t>+7.5%</w:t>
            </w:r>
          </w:p>
        </w:tc>
        <w:tc>
          <w:tcPr>
            <w:tcW w:type="dxa" w:w="1440"/>
          </w:tcPr>
          <w:p>
            <w:r>
              <w:rPr>
                <w:rFonts w:ascii="Calibri" w:hAnsi="Calibri"/>
                <w:b/>
                <w:color w:val="30A46C"/>
                <w:sz w:val="22"/>
              </w:rPr>
              <w:t>+150 bps</w:t>
            </w:r>
          </w:p>
        </w:tc>
        <w:tc>
          <w:tcPr>
            <w:tcW w:type="dxa" w:w="1440"/>
          </w:tcPr>
          <w:p>
            <w:r>
              <w:rPr>
                <w:rFonts w:ascii="Calibri" w:hAnsi="Calibri"/>
                <w:sz w:val="22"/>
              </w:rPr>
              <w:t>Beat</w:t>
            </w:r>
          </w:p>
        </w:tc>
      </w:tr>
      <w:tr>
        <w:tc>
          <w:tcPr>
            <w:tcW w:type="dxa" w:w="1440"/>
          </w:tcPr>
          <w:p>
            <w:r>
              <w:rPr>
                <w:rFonts w:ascii="Calibri" w:hAnsi="Calibri"/>
                <w:sz w:val="22"/>
              </w:rPr>
              <w:t>Q4 2024</w:t>
            </w:r>
          </w:p>
        </w:tc>
        <w:tc>
          <w:tcPr>
            <w:tcW w:type="dxa" w:w="1440"/>
          </w:tcPr>
          <w:p>
            <w:r>
              <w:rPr>
                <w:rFonts w:ascii="Calibri" w:hAnsi="Calibri"/>
                <w:sz w:val="22"/>
              </w:rPr>
              <w:t>Adj. EPS</w:t>
            </w:r>
          </w:p>
        </w:tc>
        <w:tc>
          <w:tcPr>
            <w:tcW w:type="dxa" w:w="1440"/>
          </w:tcPr>
          <w:p>
            <w:r>
              <w:rPr>
                <w:rFonts w:ascii="Calibri" w:hAnsi="Calibri"/>
                <w:sz w:val="22"/>
              </w:rPr>
              <w:t>$1.61</w:t>
            </w:r>
          </w:p>
        </w:tc>
        <w:tc>
          <w:tcPr>
            <w:tcW w:type="dxa" w:w="1440"/>
          </w:tcPr>
          <w:p>
            <w:r>
              <w:rPr>
                <w:rFonts w:ascii="Calibri" w:hAnsi="Calibri"/>
                <w:sz w:val="22"/>
              </w:rPr>
              <w:t>$1.60</w:t>
            </w:r>
          </w:p>
        </w:tc>
        <w:tc>
          <w:tcPr>
            <w:tcW w:type="dxa" w:w="1440"/>
          </w:tcPr>
          <w:p>
            <w:r>
              <w:rPr>
                <w:rFonts w:ascii="Calibri" w:hAnsi="Calibri"/>
                <w:sz w:val="22"/>
              </w:rPr>
              <w:t>+0.6%</w:t>
            </w:r>
          </w:p>
        </w:tc>
        <w:tc>
          <w:tcPr>
            <w:tcW w:type="dxa" w:w="1440"/>
          </w:tcPr>
          <w:p>
            <w:r>
              <w:rPr>
                <w:rFonts w:ascii="Calibri" w:hAnsi="Calibri"/>
                <w:sz w:val="22"/>
              </w:rPr>
              <w:t>In-Line</w:t>
            </w:r>
          </w:p>
        </w:tc>
      </w:tr>
      <w:tr>
        <w:tc>
          <w:tcPr>
            <w:tcW w:type="dxa" w:w="1440"/>
          </w:tcPr>
          <w:p>
            <w:r>
              <w:rPr>
                <w:rFonts w:ascii="Calibri" w:hAnsi="Calibri"/>
                <w:sz w:val="22"/>
              </w:rPr>
              <w:t>Q4 2024</w:t>
            </w:r>
          </w:p>
        </w:tc>
        <w:tc>
          <w:tcPr>
            <w:tcW w:type="dxa" w:w="1440"/>
          </w:tcPr>
          <w:p>
            <w:r>
              <w:rPr>
                <w:rFonts w:ascii="Calibri" w:hAnsi="Calibri"/>
                <w:sz w:val="22"/>
              </w:rPr>
              <w:t>Taco Bell SSS</w:t>
            </w:r>
          </w:p>
        </w:tc>
        <w:tc>
          <w:tcPr>
            <w:tcW w:type="dxa" w:w="1440"/>
          </w:tcPr>
          <w:p>
            <w:r>
              <w:rPr>
                <w:rFonts w:ascii="Calibri" w:hAnsi="Calibri"/>
                <w:sz w:val="22"/>
              </w:rPr>
              <w:t>+5.0%</w:t>
            </w:r>
          </w:p>
        </w:tc>
        <w:tc>
          <w:tcPr>
            <w:tcW w:type="dxa" w:w="1440"/>
          </w:tcPr>
          <w:p>
            <w:r>
              <w:rPr>
                <w:rFonts w:ascii="Calibri" w:hAnsi="Calibri"/>
                <w:sz w:val="22"/>
              </w:rPr>
              <w:t>+4.7%</w:t>
            </w:r>
          </w:p>
        </w:tc>
        <w:tc>
          <w:tcPr>
            <w:tcW w:type="dxa" w:w="1440"/>
          </w:tcPr>
          <w:p>
            <w:r>
              <w:rPr>
                <w:rFonts w:ascii="Calibri" w:hAnsi="Calibri"/>
                <w:sz w:val="22"/>
              </w:rPr>
              <w:t>+30 bps</w:t>
            </w:r>
          </w:p>
        </w:tc>
        <w:tc>
          <w:tcPr>
            <w:tcW w:type="dxa" w:w="1440"/>
          </w:tcPr>
          <w:p>
            <w:r>
              <w:rPr>
                <w:rFonts w:ascii="Calibri" w:hAnsi="Calibri"/>
                <w:sz w:val="22"/>
              </w:rPr>
              <w:t>Slight Beat</w:t>
            </w:r>
          </w:p>
        </w:tc>
      </w:tr>
      <w:tr>
        <w:tc>
          <w:tcPr>
            <w:tcW w:type="dxa" w:w="1440"/>
          </w:tcPr>
          <w:p>
            <w:r>
              <w:rPr>
                <w:rFonts w:ascii="Calibri" w:hAnsi="Calibri"/>
                <w:sz w:val="22"/>
              </w:rPr>
              <w:t>Q3 2024</w:t>
            </w:r>
          </w:p>
        </w:tc>
        <w:tc>
          <w:tcPr>
            <w:tcW w:type="dxa" w:w="1440"/>
          </w:tcPr>
          <w:p>
            <w:r>
              <w:rPr>
                <w:rFonts w:ascii="Calibri" w:hAnsi="Calibri"/>
                <w:sz w:val="22"/>
              </w:rPr>
              <w:t>Adj. EPS</w:t>
            </w:r>
          </w:p>
        </w:tc>
        <w:tc>
          <w:tcPr>
            <w:tcW w:type="dxa" w:w="1440"/>
          </w:tcPr>
          <w:p>
            <w:r>
              <w:rPr>
                <w:rFonts w:ascii="Calibri" w:hAnsi="Calibri"/>
                <w:sz w:val="22"/>
              </w:rPr>
              <w:t>$1.37</w:t>
            </w:r>
          </w:p>
        </w:tc>
        <w:tc>
          <w:tcPr>
            <w:tcW w:type="dxa" w:w="1440"/>
          </w:tcPr>
          <w:p>
            <w:r>
              <w:rPr>
                <w:rFonts w:ascii="Calibri" w:hAnsi="Calibri"/>
                <w:sz w:val="22"/>
              </w:rPr>
              <w:t>$1.41</w:t>
            </w:r>
          </w:p>
        </w:tc>
        <w:tc>
          <w:tcPr>
            <w:tcW w:type="dxa" w:w="1440"/>
          </w:tcPr>
          <w:p>
            <w:r>
              <w:rPr>
                <w:rFonts w:ascii="Calibri" w:hAnsi="Calibri"/>
                <w:b/>
                <w:color w:val="E5484D"/>
                <w:sz w:val="22"/>
              </w:rPr>
              <w:t>-2.8%</w:t>
            </w:r>
          </w:p>
        </w:tc>
        <w:tc>
          <w:tcPr>
            <w:tcW w:type="dxa" w:w="1440"/>
          </w:tcPr>
          <w:p>
            <w:r>
              <w:rPr>
                <w:rFonts w:ascii="Calibri" w:hAnsi="Calibri"/>
                <w:sz w:val="22"/>
              </w:rPr>
              <w:t>Miss</w:t>
            </w:r>
          </w:p>
        </w:tc>
      </w:tr>
      <w:tr>
        <w:tc>
          <w:tcPr>
            <w:tcW w:type="dxa" w:w="1440"/>
          </w:tcPr>
          <w:p>
            <w:r>
              <w:rPr>
                <w:rFonts w:ascii="Calibri" w:hAnsi="Calibri"/>
                <w:sz w:val="22"/>
              </w:rPr>
              <w:t>Q3 2024</w:t>
            </w:r>
          </w:p>
        </w:tc>
        <w:tc>
          <w:tcPr>
            <w:tcW w:type="dxa" w:w="1440"/>
          </w:tcPr>
          <w:p>
            <w:r>
              <w:rPr>
                <w:rFonts w:ascii="Calibri" w:hAnsi="Calibri"/>
                <w:sz w:val="22"/>
              </w:rPr>
              <w:t>Taco Bell SSS</w:t>
            </w:r>
          </w:p>
        </w:tc>
        <w:tc>
          <w:tcPr>
            <w:tcW w:type="dxa" w:w="1440"/>
          </w:tcPr>
          <w:p>
            <w:r>
              <w:rPr>
                <w:rFonts w:ascii="Calibri" w:hAnsi="Calibri"/>
                <w:sz w:val="22"/>
              </w:rPr>
              <w:t>+4.0%</w:t>
            </w:r>
          </w:p>
        </w:tc>
        <w:tc>
          <w:tcPr>
            <w:tcW w:type="dxa" w:w="1440"/>
          </w:tcPr>
          <w:p>
            <w:r>
              <w:rPr>
                <w:rFonts w:ascii="Calibri" w:hAnsi="Calibri"/>
                <w:sz w:val="22"/>
              </w:rPr>
              <w:t>+3.0%</w:t>
            </w:r>
          </w:p>
        </w:tc>
        <w:tc>
          <w:tcPr>
            <w:tcW w:type="dxa" w:w="1440"/>
          </w:tcPr>
          <w:p>
            <w:r>
              <w:rPr>
                <w:rFonts w:ascii="Calibri" w:hAnsi="Calibri"/>
                <w:b/>
                <w:color w:val="30A46C"/>
                <w:sz w:val="22"/>
              </w:rPr>
              <w:t>+100 bps</w:t>
            </w:r>
          </w:p>
        </w:tc>
        <w:tc>
          <w:tcPr>
            <w:tcW w:type="dxa" w:w="1440"/>
          </w:tcPr>
          <w:p>
            <w:r>
              <w:rPr>
                <w:rFonts w:ascii="Calibri" w:hAnsi="Calibri"/>
                <w:sz w:val="22"/>
              </w:rPr>
              <w:t>Beat</w:t>
            </w:r>
          </w:p>
        </w:tc>
      </w:tr>
    </w:tbl>
    <w:p>
      <w:r>
        <w:rPr>
          <w:rFonts w:ascii="Calibri" w:hAnsi="Calibri"/>
          <w:b/>
          <w:color w:val="525866"/>
          <w:sz w:val="22"/>
        </w:rPr>
        <w:t xml:space="preserve">Pattern: </w:t>
      </w:r>
      <w:r>
        <w:rPr>
          <w:rFonts w:ascii="Calibri" w:hAnsi="Calibri"/>
          <w:color w:val="525866"/>
          <w:sz w:val="22"/>
        </w:rPr>
        <w:t>Taco Bell SSS has beaten consensus in 6 of the last 8 quarters, often by a wide margin — the Street has consistently underestimated the brand's momentum. EPS has been more mixed (4 beats, 3 misses, 1 in-line), with misses typically driven by FX headwinds or one-time items rather than operational weakness. Source: Visible Alpha Consensus and Actuals Data.</w:t>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Management's tone at the Q1 call was the most confident in several quarters — Taco Bell margin guidance was raised and the Pizza Hut strategic review was framed as nearing completion. The June 16 Pizza Hut divestiture announcement is the only material post-earnings guidance event; no financial guidance was revised, but the strategic and capital allocation picture changed significantly.</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Call, Apr 29)</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Core Operating Profit Growth (ex-Pizza Hut)</w:t>
            </w:r>
          </w:p>
        </w:tc>
        <w:tc>
          <w:tcPr>
            <w:tcW w:type="dxa" w:w="1728"/>
          </w:tcPr>
          <w:p>
            <w:r>
              <w:rPr>
                <w:rFonts w:ascii="Calibri" w:hAnsi="Calibri"/>
                <w:sz w:val="22"/>
              </w:rPr>
              <w:t>Meet or exceed ≥8% (long-term algo)</w:t>
            </w:r>
          </w:p>
        </w:tc>
        <w:tc>
          <w:tcPr>
            <w:tcW w:type="dxa" w:w="1728"/>
          </w:tcPr>
          <w:p>
            <w:r>
              <w:rPr>
                <w:rFonts w:ascii="Calibri" w:hAnsi="Calibri"/>
                <w:sz w:val="22"/>
              </w:rPr>
              <w:t>—</w:t>
            </w:r>
          </w:p>
        </w:tc>
        <w:tc>
          <w:tcPr>
            <w:tcW w:type="dxa" w:w="1728"/>
          </w:tcPr>
          <w:p>
            <w:r>
              <w:rPr>
                <w:rFonts w:ascii="Calibri" w:hAnsi="Calibri"/>
                <w:sz w:val="22"/>
              </w:rPr>
              <w:t>FY2026 consensus ~$6.70 adj. EPS</w:t>
            </w:r>
          </w:p>
        </w:tc>
        <w:tc>
          <w:tcPr>
            <w:tcW w:type="dxa" w:w="1728"/>
          </w:tcPr>
          <w:p>
            <w:r>
              <w:rPr>
                <w:rFonts w:ascii="Calibri" w:hAnsi="Calibri"/>
                <w:sz w:val="22"/>
              </w:rPr>
              <w:t>Unchanged; management expressed high confidence at Q1 call</w:t>
            </w:r>
          </w:p>
        </w:tc>
      </w:tr>
      <w:tr>
        <w:tc>
          <w:tcPr>
            <w:tcW w:type="dxa" w:w="1728"/>
          </w:tcPr>
          <w:p>
            <w:r>
              <w:rPr>
                <w:rFonts w:ascii="Calibri" w:hAnsi="Calibri"/>
                <w:sz w:val="22"/>
              </w:rPr>
              <w:t>Taco Bell U.S. Restaurant-Level Margin</w:t>
            </w:r>
          </w:p>
        </w:tc>
        <w:tc>
          <w:tcPr>
            <w:tcW w:type="dxa" w:w="1728"/>
          </w:tcPr>
          <w:p>
            <w:r>
              <w:rPr>
                <w:rFonts w:ascii="Calibri" w:hAnsi="Calibri"/>
                <w:sz w:val="22"/>
              </w:rPr>
              <w:t>24.5%–25.5% (raised from prior ~23–24% range)</w:t>
            </w:r>
          </w:p>
        </w:tc>
        <w:tc>
          <w:tcPr>
            <w:tcW w:type="dxa" w:w="1728"/>
          </w:tcPr>
          <w:p>
            <w:r>
              <w:rPr>
                <w:rFonts w:ascii="Calibri" w:hAnsi="Calibri"/>
                <w:sz w:val="22"/>
              </w:rPr>
              <w:t>—</w:t>
            </w:r>
          </w:p>
        </w:tc>
        <w:tc>
          <w:tcPr>
            <w:tcW w:type="dxa" w:w="1728"/>
          </w:tcPr>
          <w:p>
            <w:r>
              <w:rPr>
                <w:rFonts w:ascii="Calibri" w:hAnsi="Calibri"/>
                <w:sz w:val="22"/>
              </w:rPr>
              <w:t>N/A — not in VA consensus</w:t>
            </w:r>
          </w:p>
        </w:tc>
        <w:tc>
          <w:tcPr>
            <w:tcW w:type="dxa" w:w="1728"/>
          </w:tcPr>
          <w:p>
            <w:r>
              <w:rPr>
                <w:rFonts w:ascii="Calibri" w:hAnsi="Calibri"/>
                <w:sz w:val="22"/>
              </w:rPr>
              <w:t>↑ Raised at Q1 call (Apr 29); reflects better TB top-line momentum and higher margins from acquired stores</w:t>
            </w:r>
          </w:p>
        </w:tc>
      </w:tr>
      <w:tr>
        <w:tc>
          <w:tcPr>
            <w:tcW w:type="dxa" w:w="1728"/>
          </w:tcPr>
          <w:p>
            <w:r>
              <w:rPr>
                <w:rFonts w:ascii="Calibri" w:hAnsi="Calibri"/>
                <w:sz w:val="22"/>
              </w:rPr>
              <w:t>Ex-Special G&amp;A Growth (ex-Pizza Hut, FY)</w:t>
            </w:r>
          </w:p>
        </w:tc>
        <w:tc>
          <w:tcPr>
            <w:tcW w:type="dxa" w:w="1728"/>
          </w:tcPr>
          <w:p>
            <w:r>
              <w:rPr>
                <w:rFonts w:ascii="Calibri" w:hAnsi="Calibri"/>
                <w:sz w:val="22"/>
              </w:rPr>
              <w:t>Up mid-single digits</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Unchanged; Q2 specifically guided to high single-digit growth YoY due to timing of project spend</w:t>
            </w:r>
          </w:p>
        </w:tc>
      </w:tr>
      <w:tr>
        <w:tc>
          <w:tcPr>
            <w:tcW w:type="dxa" w:w="1728"/>
          </w:tcPr>
          <w:p>
            <w:r>
              <w:rPr>
                <w:rFonts w:ascii="Calibri" w:hAnsi="Calibri"/>
                <w:sz w:val="22"/>
              </w:rPr>
              <w:t>Q2 Pizza Hut Core Operating Profit</w:t>
            </w:r>
          </w:p>
        </w:tc>
        <w:tc>
          <w:tcPr>
            <w:tcW w:type="dxa" w:w="1728"/>
          </w:tcPr>
          <w:p>
            <w:r>
              <w:rPr>
                <w:rFonts w:ascii="Calibri" w:hAnsi="Calibri"/>
                <w:sz w:val="22"/>
              </w:rPr>
              <w:t>~$17M (includes Hut Forward one-time expense)</w:t>
            </w:r>
          </w:p>
        </w:tc>
        <w:tc>
          <w:tcPr>
            <w:tcW w:type="dxa" w:w="1728"/>
          </w:tcPr>
          <w:p>
            <w:r>
              <w:rPr>
                <w:rFonts w:ascii="Calibri" w:hAnsi="Calibri"/>
                <w:sz w:val="22"/>
              </w:rPr>
              <w:t>—</w:t>
            </w:r>
          </w:p>
        </w:tc>
        <w:tc>
          <w:tcPr>
            <w:tcW w:type="dxa" w:w="1728"/>
          </w:tcPr>
          <w:p>
            <w:r>
              <w:rPr>
                <w:rFonts w:ascii="Calibri" w:hAnsi="Calibri"/>
                <w:sz w:val="22"/>
              </w:rPr>
              <w:t>N/A (Pizza Hut being divested)</w:t>
            </w:r>
          </w:p>
        </w:tc>
        <w:tc>
          <w:tcPr>
            <w:tcW w:type="dxa" w:w="1728"/>
          </w:tcPr>
          <w:p>
            <w:r>
              <w:rPr>
                <w:rFonts w:ascii="Calibri" w:hAnsi="Calibri"/>
                <w:sz w:val="22"/>
              </w:rPr>
              <w:t>Unchanged; Pizza Hut sale announced June 16 — $1.49B (ex-China) + $1.2B (China) = $2.69B total; $4B incremental buyback authorized</w:t>
            </w:r>
          </w:p>
        </w:tc>
      </w:tr>
      <w:tr>
        <w:tc>
          <w:tcPr>
            <w:tcW w:type="dxa" w:w="1728"/>
          </w:tcPr>
          <w:p>
            <w:r>
              <w:rPr>
                <w:rFonts w:ascii="Calibri" w:hAnsi="Calibri"/>
                <w:sz w:val="22"/>
              </w:rPr>
              <w:t>Full-Year Interest Expense</w:t>
            </w:r>
          </w:p>
        </w:tc>
        <w:tc>
          <w:tcPr>
            <w:tcW w:type="dxa" w:w="1728"/>
          </w:tcPr>
          <w:p>
            <w:r>
              <w:rPr>
                <w:rFonts w:ascii="Calibri" w:hAnsi="Calibri"/>
                <w:sz w:val="22"/>
              </w:rPr>
              <w:t>$510M–$520M (excl. new debt issuances)</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Unchanged; may be revisited post-Pizza Hut close given capital structure changes</w:t>
            </w:r>
          </w:p>
        </w:tc>
      </w:tr>
      <w:tr>
        <w:tc>
          <w:tcPr>
            <w:tcW w:type="dxa" w:w="1728"/>
          </w:tcPr>
          <w:p>
            <w:r>
              <w:rPr>
                <w:rFonts w:ascii="Calibri" w:hAnsi="Calibri"/>
                <w:sz w:val="22"/>
              </w:rPr>
              <w:t>Pizza Hut Strategic Review</w:t>
            </w:r>
          </w:p>
        </w:tc>
        <w:tc>
          <w:tcPr>
            <w:tcW w:type="dxa" w:w="1728"/>
          </w:tcPr>
          <w:p>
            <w:r>
              <w:rPr>
                <w:rFonts w:ascii="Calibri" w:hAnsi="Calibri"/>
                <w:sz w:val="22"/>
              </w:rPr>
              <w:t>On track to complete in 2026</w:t>
            </w:r>
          </w:p>
        </w:tc>
        <w:tc>
          <w:tcPr>
            <w:tcW w:type="dxa" w:w="1728"/>
          </w:tcPr>
          <w:p>
            <w:r>
              <w:rPr>
                <w:rFonts w:ascii="Calibri" w:hAnsi="Calibri"/>
                <w:sz w:val="22"/>
              </w:rPr>
              <w:t>Completed — definitive sale agreements signed June 16, 2026</w:t>
            </w:r>
          </w:p>
        </w:tc>
        <w:tc>
          <w:tcPr>
            <w:tcW w:type="dxa" w:w="1728"/>
          </w:tcPr>
          <w:p>
            <w:r>
              <w:rPr>
                <w:rFonts w:ascii="Calibri" w:hAnsi="Calibri"/>
                <w:sz w:val="22"/>
              </w:rPr>
              <w:t>N/A</w:t>
            </w:r>
          </w:p>
        </w:tc>
        <w:tc>
          <w:tcPr>
            <w:tcW w:type="dxa" w:w="1728"/>
          </w:tcPr>
          <w:p>
            <w:r>
              <w:rPr>
                <w:rFonts w:ascii="Calibri" w:hAnsi="Calibri"/>
                <w:sz w:val="22"/>
              </w:rPr>
              <w:t>↑ Resolved via 8-K June 16, 2026; LongRange Capital (ex-China, $1.49B) + Yum China ($1.2B China); close expected Q3 2026; $4B buyback authorized</w:t>
            </w:r>
          </w:p>
        </w:tc>
      </w:tr>
    </w:tbl>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Estimates for Q2 2026 have drifted modestly lower since the Q1 print — adj. EPS consensus fell from $1.57 to $1.56 and Taco Bell SSS from ~7.2% to ~6.5% — likely reflecting the cyclospora outbreak impact on late-quarter traffic. Full-year estimates are also slightly lower, suggesting the Street is cautiously trimming rather than aggressively cutting, which keeps the bar achievable.</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(Period)</w:t>
            </w:r>
          </w:p>
        </w:tc>
        <w:tc>
          <w:tcPr>
            <w:tcW w:type="dxa" w:w="1080"/>
            <w:shd w:val="clear" w:color="auto" w:fill="3B4259"/>
          </w:tcPr>
          <w:p>
            <w:r>
              <w:rPr>
                <w:rFonts w:ascii="Calibri" w:hAnsi="Calibri"/>
                <w:b/>
                <w:color w:val="FFFFFF"/>
                <w:sz w:val="22"/>
              </w:rPr>
              <w:t>Estimate ~5 Days Post Q1 Earnings (as of May 6, 2026)</w:t>
            </w:r>
          </w:p>
        </w:tc>
        <w:tc>
          <w:tcPr>
            <w:tcW w:type="dxa" w:w="1080"/>
            <w:shd w:val="clear" w:color="auto" w:fill="3B4259"/>
          </w:tcPr>
          <w:p>
            <w:r>
              <w:rPr>
                <w:rFonts w:ascii="Calibri" w:hAnsi="Calibri"/>
                <w:b/>
                <w:color w:val="FFFFFF"/>
                <w:sz w:val="22"/>
              </w:rPr>
              <w:t>Current Consensus (July 29, 2026)</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Call)</w:t>
            </w:r>
          </w:p>
        </w:tc>
        <w:tc>
          <w:tcPr>
            <w:tcW w:type="dxa" w:w="1080"/>
            <w:shd w:val="clear" w:color="auto" w:fill="3B4259"/>
          </w:tcPr>
          <w:p>
            <w:r>
              <w:rPr>
                <w:rFonts w:ascii="Calibri" w:hAnsi="Calibri"/>
                <w:b/>
                <w:color w:val="FFFFFF"/>
                <w:sz w:val="22"/>
              </w:rPr>
              <w:t>Current Guidance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Consensus vs. Guidance (%)</w:t>
            </w:r>
          </w:p>
        </w:tc>
      </w:tr>
      <w:tr>
        <w:tc>
          <w:tcPr>
            <w:tcW w:type="dxa" w:w="1080"/>
          </w:tcPr>
          <w:p>
            <w:r>
              <w:rPr>
                <w:rFonts w:ascii="Calibri" w:hAnsi="Calibri"/>
                <w:sz w:val="22"/>
              </w:rPr>
              <w:t>Adj. EPS — Q2 2026</w:t>
            </w:r>
          </w:p>
        </w:tc>
        <w:tc>
          <w:tcPr>
            <w:tcW w:type="dxa" w:w="1080"/>
          </w:tcPr>
          <w:p>
            <w:r>
              <w:rPr>
                <w:rFonts w:ascii="Calibri" w:hAnsi="Calibri"/>
                <w:sz w:val="22"/>
              </w:rPr>
              <w:t>$1.575</w:t>
            </w:r>
          </w:p>
        </w:tc>
        <w:tc>
          <w:tcPr>
            <w:tcW w:type="dxa" w:w="1080"/>
          </w:tcPr>
          <w:p>
            <w:r>
              <w:rPr>
                <w:rFonts w:ascii="Calibri" w:hAnsi="Calibri"/>
                <w:sz w:val="22"/>
              </w:rPr>
              <w:t>$1.561</w:t>
            </w:r>
          </w:p>
        </w:tc>
        <w:tc>
          <w:tcPr>
            <w:tcW w:type="dxa" w:w="1080"/>
          </w:tcPr>
          <w:p>
            <w:r>
              <w:rPr>
                <w:rFonts w:ascii="Calibri" w:hAnsi="Calibri"/>
                <w:b/>
                <w:color w:val="E5484D"/>
                <w:sz w:val="22"/>
              </w:rPr>
              <w:t>-0.9%</w:t>
            </w:r>
          </w:p>
        </w:tc>
        <w:tc>
          <w:tcPr>
            <w:tcW w:type="dxa" w:w="1080"/>
          </w:tcPr>
          <w:p>
            <w:r>
              <w:rPr>
                <w:rFonts w:ascii="Calibri" w:hAnsi="Calibri"/>
                <w:sz w:val="22"/>
              </w:rPr>
              <w:t>No specific Q2 EPS guidance</w:t>
            </w:r>
          </w:p>
        </w:tc>
        <w:tc>
          <w:tcPr>
            <w:tcW w:type="dxa" w:w="1080"/>
          </w:tcPr>
          <w:p>
            <w:r>
              <w:rPr>
                <w:rFonts w:ascii="Calibri" w:hAnsi="Calibri"/>
                <w:sz w:val="22"/>
              </w:rPr>
              <w:t>No change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Adj. EPS — FY2026</w:t>
            </w:r>
          </w:p>
        </w:tc>
        <w:tc>
          <w:tcPr>
            <w:tcW w:type="dxa" w:w="1080"/>
          </w:tcPr>
          <w:p>
            <w:r>
              <w:rPr>
                <w:rFonts w:ascii="Calibri" w:hAnsi="Calibri"/>
                <w:sz w:val="22"/>
              </w:rPr>
              <w:t>$6.772</w:t>
            </w:r>
          </w:p>
        </w:tc>
        <w:tc>
          <w:tcPr>
            <w:tcW w:type="dxa" w:w="1080"/>
          </w:tcPr>
          <w:p>
            <w:r>
              <w:rPr>
                <w:rFonts w:ascii="Calibri" w:hAnsi="Calibri"/>
                <w:sz w:val="22"/>
              </w:rPr>
              <w:t>$6.702</w:t>
            </w:r>
          </w:p>
        </w:tc>
        <w:tc>
          <w:tcPr>
            <w:tcW w:type="dxa" w:w="1080"/>
          </w:tcPr>
          <w:p>
            <w:r>
              <w:rPr>
                <w:rFonts w:ascii="Calibri" w:hAnsi="Calibri"/>
                <w:b/>
                <w:color w:val="E5484D"/>
                <w:sz w:val="22"/>
              </w:rPr>
              <w:t>-1.0%</w:t>
            </w:r>
          </w:p>
        </w:tc>
        <w:tc>
          <w:tcPr>
            <w:tcW w:type="dxa" w:w="1080"/>
          </w:tcPr>
          <w:p>
            <w:r>
              <w:rPr>
                <w:rFonts w:ascii="Calibri" w:hAnsi="Calibri"/>
                <w:sz w:val="22"/>
              </w:rPr>
              <w:t>≥8% COP growth ex-PH (LT algo)</w:t>
            </w:r>
          </w:p>
        </w:tc>
        <w:tc>
          <w:tcPr>
            <w:tcW w:type="dxa" w:w="1080"/>
          </w:tcPr>
          <w:p>
            <w:r>
              <w:rPr>
                <w:rFonts w:ascii="Calibri" w:hAnsi="Calibri"/>
                <w:sz w:val="22"/>
              </w:rPr>
              <w:t>Unchanged</w:t>
            </w:r>
          </w:p>
        </w:tc>
        <w:tc>
          <w:tcPr>
            <w:tcW w:type="dxa" w:w="1080"/>
          </w:tcPr>
          <w:p>
            <w:r>
              <w:rPr>
                <w:rFonts w:ascii="Calibri" w:hAnsi="Calibri"/>
                <w:sz w:val="22"/>
              </w:rPr>
              <w:t>N/A</w:t>
            </w:r>
          </w:p>
        </w:tc>
        <w:tc>
          <w:tcPr>
            <w:tcW w:type="dxa" w:w="1080"/>
          </w:tcPr>
          <w:p>
            <w:r>
              <w:rPr>
                <w:rFonts w:ascii="Calibri" w:hAnsi="Calibri"/>
                <w:sz w:val="22"/>
              </w:rPr>
              <w:t>Tracking below algo midpoint; cyclospora risk not yet fully reflected</w:t>
            </w:r>
          </w:p>
        </w:tc>
      </w:tr>
      <w:tr>
        <w:tc>
          <w:tcPr>
            <w:tcW w:type="dxa" w:w="1080"/>
          </w:tcPr>
          <w:p>
            <w:r>
              <w:rPr>
                <w:rFonts w:ascii="Calibri" w:hAnsi="Calibri"/>
                <w:sz w:val="22"/>
              </w:rPr>
              <w:t>Adj. EPS — FY2027</w:t>
            </w:r>
          </w:p>
        </w:tc>
        <w:tc>
          <w:tcPr>
            <w:tcW w:type="dxa" w:w="1080"/>
          </w:tcPr>
          <w:p>
            <w:r>
              <w:rPr>
                <w:rFonts w:ascii="Calibri" w:hAnsi="Calibri"/>
                <w:sz w:val="22"/>
              </w:rPr>
              <w:t>$7.512</w:t>
            </w:r>
          </w:p>
        </w:tc>
        <w:tc>
          <w:tcPr>
            <w:tcW w:type="dxa" w:w="1080"/>
          </w:tcPr>
          <w:p>
            <w:r>
              <w:rPr>
                <w:rFonts w:ascii="Calibri" w:hAnsi="Calibri"/>
                <w:sz w:val="22"/>
              </w:rPr>
              <w:t>$7.375</w:t>
            </w:r>
          </w:p>
        </w:tc>
        <w:tc>
          <w:tcPr>
            <w:tcW w:type="dxa" w:w="1080"/>
          </w:tcPr>
          <w:p>
            <w:r>
              <w:rPr>
                <w:rFonts w:ascii="Calibri" w:hAnsi="Calibri"/>
                <w:b/>
                <w:color w:val="E5484D"/>
                <w:sz w:val="22"/>
              </w:rPr>
              <w:t>-1.8%</w:t>
            </w:r>
          </w:p>
        </w:tc>
        <w:tc>
          <w:tcPr>
            <w:tcW w:type="dxa" w:w="1080"/>
          </w:tcPr>
          <w:p>
            <w:r>
              <w:rPr>
                <w:rFonts w:ascii="Calibri" w:hAnsi="Calibri"/>
                <w:sz w:val="22"/>
              </w:rPr>
              <w:t>N/A (no FY27 guidance)</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Total Revenue — Q2 2026</w:t>
            </w:r>
          </w:p>
        </w:tc>
        <w:tc>
          <w:tcPr>
            <w:tcW w:type="dxa" w:w="1080"/>
          </w:tcPr>
          <w:p>
            <w:r>
              <w:rPr>
                <w:rFonts w:ascii="Calibri" w:hAnsi="Calibri"/>
                <w:sz w:val="22"/>
              </w:rPr>
              <w:t>$2,196M</w:t>
            </w:r>
          </w:p>
        </w:tc>
        <w:tc>
          <w:tcPr>
            <w:tcW w:type="dxa" w:w="1080"/>
          </w:tcPr>
          <w:p>
            <w:r>
              <w:rPr>
                <w:rFonts w:ascii="Calibri" w:hAnsi="Calibri"/>
                <w:sz w:val="22"/>
              </w:rPr>
              <w:t>$2,177M</w:t>
            </w:r>
          </w:p>
        </w:tc>
        <w:tc>
          <w:tcPr>
            <w:tcW w:type="dxa" w:w="1080"/>
          </w:tcPr>
          <w:p>
            <w:r>
              <w:rPr>
                <w:rFonts w:ascii="Calibri" w:hAnsi="Calibri"/>
                <w:b/>
                <w:color w:val="E5484D"/>
                <w:sz w:val="22"/>
              </w:rPr>
              <w:t>-0.9%</w:t>
            </w:r>
          </w:p>
        </w:tc>
        <w:tc>
          <w:tcPr>
            <w:tcW w:type="dxa" w:w="1080"/>
          </w:tcPr>
          <w:p>
            <w:r>
              <w:rPr>
                <w:rFonts w:ascii="Calibri" w:hAnsi="Calibri"/>
                <w:sz w:val="22"/>
              </w:rPr>
              <w:t>No specific Q2 revenue guidance</w:t>
            </w:r>
          </w:p>
        </w:tc>
        <w:tc>
          <w:tcPr>
            <w:tcW w:type="dxa" w:w="1080"/>
          </w:tcPr>
          <w:p>
            <w:r>
              <w:rPr>
                <w:rFonts w:ascii="Calibri" w:hAnsi="Calibri"/>
                <w:sz w:val="22"/>
              </w:rPr>
              <w:t>No change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Total Revenue — FY2026</w:t>
            </w:r>
          </w:p>
        </w:tc>
        <w:tc>
          <w:tcPr>
            <w:tcW w:type="dxa" w:w="1080"/>
          </w:tcPr>
          <w:p>
            <w:r>
              <w:rPr>
                <w:rFonts w:ascii="Calibri" w:hAnsi="Calibri"/>
                <w:sz w:val="22"/>
              </w:rPr>
              <w:t>$9,202M</w:t>
            </w:r>
          </w:p>
        </w:tc>
        <w:tc>
          <w:tcPr>
            <w:tcW w:type="dxa" w:w="1080"/>
          </w:tcPr>
          <w:p>
            <w:r>
              <w:rPr>
                <w:rFonts w:ascii="Calibri" w:hAnsi="Calibri"/>
                <w:sz w:val="22"/>
              </w:rPr>
              <w:t>$9,092M</w:t>
            </w:r>
          </w:p>
        </w:tc>
        <w:tc>
          <w:tcPr>
            <w:tcW w:type="dxa" w:w="1080"/>
          </w:tcPr>
          <w:p>
            <w:r>
              <w:rPr>
                <w:rFonts w:ascii="Calibri" w:hAnsi="Calibri"/>
                <w:b/>
                <w:color w:val="E5484D"/>
                <w:sz w:val="22"/>
              </w:rPr>
              <w:t>-1.2%</w:t>
            </w:r>
          </w:p>
        </w:tc>
        <w:tc>
          <w:tcPr>
            <w:tcW w:type="dxa" w:w="1080"/>
          </w:tcPr>
          <w:p>
            <w:r>
              <w:rPr>
                <w:rFonts w:ascii="Calibri" w:hAnsi="Calibri"/>
                <w:sz w:val="22"/>
              </w:rPr>
              <w:t>No specific FY revenue guidance</w:t>
            </w:r>
          </w:p>
        </w:tc>
        <w:tc>
          <w:tcPr>
            <w:tcW w:type="dxa" w:w="1080"/>
          </w:tcPr>
          <w:p>
            <w:r>
              <w:rPr>
                <w:rFonts w:ascii="Calibri" w:hAnsi="Calibri"/>
                <w:sz w:val="22"/>
              </w:rPr>
              <w:t>No change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Taco Bell SSS — Q2 2026</w:t>
            </w:r>
          </w:p>
        </w:tc>
        <w:tc>
          <w:tcPr>
            <w:tcW w:type="dxa" w:w="1080"/>
          </w:tcPr>
          <w:p>
            <w:r>
              <w:rPr>
                <w:rFonts w:ascii="Calibri" w:hAnsi="Calibri"/>
                <w:sz w:val="22"/>
              </w:rPr>
              <w:t>+7.2%</w:t>
            </w:r>
          </w:p>
        </w:tc>
        <w:tc>
          <w:tcPr>
            <w:tcW w:type="dxa" w:w="1080"/>
          </w:tcPr>
          <w:p>
            <w:r>
              <w:rPr>
                <w:rFonts w:ascii="Calibri" w:hAnsi="Calibri"/>
                <w:sz w:val="22"/>
              </w:rPr>
              <w:t>+6.5%</w:t>
            </w:r>
          </w:p>
        </w:tc>
        <w:tc>
          <w:tcPr>
            <w:tcW w:type="dxa" w:w="1080"/>
          </w:tcPr>
          <w:p>
            <w:r>
              <w:rPr>
                <w:rFonts w:ascii="Calibri" w:hAnsi="Calibri"/>
                <w:b/>
                <w:color w:val="E5484D"/>
                <w:sz w:val="22"/>
              </w:rPr>
              <w:t>-70 bps</w:t>
            </w:r>
          </w:p>
        </w:tc>
        <w:tc>
          <w:tcPr>
            <w:tcW w:type="dxa" w:w="1080"/>
          </w:tcPr>
          <w:p>
            <w:r>
              <w:rPr>
                <w:rFonts w:ascii="Calibri" w:hAnsi="Calibri"/>
                <w:sz w:val="22"/>
              </w:rPr>
              <w:t>Continued industry outperformance</w:t>
            </w:r>
          </w:p>
        </w:tc>
        <w:tc>
          <w:tcPr>
            <w:tcW w:type="dxa" w:w="1080"/>
          </w:tcPr>
          <w:p>
            <w:r>
              <w:rPr>
                <w:rFonts w:ascii="Calibri" w:hAnsi="Calibri"/>
                <w:sz w:val="22"/>
              </w:rPr>
              <w:t>Unchanged</w:t>
            </w:r>
          </w:p>
        </w:tc>
        <w:tc>
          <w:tcPr>
            <w:tcW w:type="dxa" w:w="1080"/>
          </w:tcPr>
          <w:p>
            <w:r>
              <w:rPr>
                <w:rFonts w:ascii="Calibri" w:hAnsi="Calibri"/>
                <w:sz w:val="22"/>
              </w:rPr>
              <w:t>N/A</w:t>
            </w:r>
          </w:p>
        </w:tc>
        <w:tc>
          <w:tcPr>
            <w:tcW w:type="dxa" w:w="1080"/>
          </w:tcPr>
          <w:p>
            <w:r>
              <w:rPr>
                <w:rFonts w:ascii="Calibri" w:hAnsi="Calibri"/>
                <w:sz w:val="22"/>
              </w:rPr>
              <w:t>Cyclospora outbreak likely drove late-Q2 traffic softness; Street trimmed estimates</w:t>
            </w:r>
          </w:p>
        </w:tc>
      </w:tr>
      <w:tr>
        <w:tc>
          <w:tcPr>
            <w:tcW w:type="dxa" w:w="1080"/>
          </w:tcPr>
          <w:p>
            <w:r>
              <w:rPr>
                <w:rFonts w:ascii="Calibri" w:hAnsi="Calibri"/>
                <w:sz w:val="22"/>
              </w:rPr>
              <w:t>KFC SSS — Q2 2026</w:t>
            </w:r>
          </w:p>
        </w:tc>
        <w:tc>
          <w:tcPr>
            <w:tcW w:type="dxa" w:w="1080"/>
          </w:tcPr>
          <w:p>
            <w:r>
              <w:rPr>
                <w:rFonts w:ascii="Calibri" w:hAnsi="Calibri"/>
                <w:sz w:val="22"/>
              </w:rPr>
              <w:t>+2.0%</w:t>
            </w:r>
          </w:p>
        </w:tc>
        <w:tc>
          <w:tcPr>
            <w:tcW w:type="dxa" w:w="1080"/>
          </w:tcPr>
          <w:p>
            <w:r>
              <w:rPr>
                <w:rFonts w:ascii="Calibri" w:hAnsi="Calibri"/>
                <w:sz w:val="22"/>
              </w:rPr>
              <w:t>+2.0%</w:t>
            </w:r>
          </w:p>
        </w:tc>
        <w:tc>
          <w:tcPr>
            <w:tcW w:type="dxa" w:w="1080"/>
          </w:tcPr>
          <w:p>
            <w:r>
              <w:rPr>
                <w:rFonts w:ascii="Calibri" w:hAnsi="Calibri"/>
                <w:sz w:val="22"/>
              </w:rPr>
              <w:t>Flat</w:t>
            </w:r>
          </w:p>
        </w:tc>
        <w:tc>
          <w:tcPr>
            <w:tcW w:type="dxa" w:w="1080"/>
          </w:tcPr>
          <w:p>
            <w:r>
              <w:rPr>
                <w:rFonts w:ascii="Calibri" w:hAnsi="Calibri"/>
                <w:sz w:val="22"/>
              </w:rPr>
              <w:t>Positive trajectory maintained</w:t>
            </w:r>
          </w:p>
        </w:tc>
        <w:tc>
          <w:tcPr>
            <w:tcW w:type="dxa" w:w="1080"/>
          </w:tcPr>
          <w:p>
            <w:r>
              <w:rPr>
                <w:rFonts w:ascii="Calibri" w:hAnsi="Calibri"/>
                <w:sz w:val="22"/>
              </w:rPr>
              <w:t>Unchanged</w:t>
            </w:r>
          </w:p>
        </w:tc>
        <w:tc>
          <w:tcPr>
            <w:tcW w:type="dxa" w:w="1080"/>
          </w:tcPr>
          <w:p>
            <w:r>
              <w:rPr>
                <w:rFonts w:ascii="Calibri" w:hAnsi="Calibri"/>
                <w:sz w:val="22"/>
              </w:rPr>
              <w:t>N/A</w:t>
            </w:r>
          </w:p>
        </w:tc>
        <w:tc>
          <w:tcPr>
            <w:tcW w:type="dxa" w:w="1080"/>
          </w:tcPr>
          <w:p>
            <w:r>
              <w:rPr>
                <w:rFonts w:ascii="Calibri" w:hAnsi="Calibri"/>
                <w:sz w:val="22"/>
              </w:rPr>
              <w:t>Stable; no revision pressure</w:t>
            </w:r>
          </w:p>
        </w:tc>
      </w:tr>
    </w:tbl>
    <w:p>
      <w:r>
        <w:rPr>
          <w:rFonts w:ascii="Calibri" w:hAnsi="Calibri"/>
          <w:color w:val="525866"/>
          <w:sz w:val="22"/>
        </w:rPr>
        <w:t>Source: Visible Alpha Consensus and Actuals Data. Estimate baseline is consensus as of May 6, 2026 (~5 trading days post Q1 earnings on April 29, 2026). Estimates have drifted modestly lower across all KPIs, consistent with the Street cautiously trimming for cyclospora-related Taco Bell traffic risk in late Q2 and into Q3. The gap between current consensus and management's long-term algorithm (≥8% COP growth ex-PH) is not yet alarming but bears watching if Q3 guidance disappoints.</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YUM's post-Q1 rally (+5% to early July highs) was driven by the Pizza Hut divestiture announcement and Taco Bell momentum, but the stock has since given back all gains and more on cyclospora news — the stock is now down ~3% since earnings, underperforming both XLY and the S&amp;P 500 over the same window. Multiple compression (EV/EBITDA from ~16.8x to ~16.3x) accounts for most of the underperformance, not estimate cuts.</w:t>
      </w:r>
    </w:p>
    <w:p>
      <w:pPr>
        <w:pStyle w:val="Heading3"/>
      </w:pPr>
      <w:r>
        <w:rPr>
          <w:rFonts w:ascii="Calibri" w:hAnsi="Calibri"/>
          <w:b/>
          <w:color w:val="3B4259"/>
          <w:sz w:val="24"/>
        </w:rPr>
        <w:t>YUM vs. XLY vs. S&amp;P 500 — Indexed Performance Since Q1 Earnings (May 6, 2026)</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Date</w:t>
            </w:r>
          </w:p>
        </w:tc>
        <w:tc>
          <w:tcPr>
            <w:tcW w:type="dxa" w:w="2160"/>
            <w:shd w:val="clear" w:color="auto" w:fill="3B4259"/>
          </w:tcPr>
          <w:p>
            <w:r>
              <w:rPr>
                <w:rFonts w:ascii="Calibri" w:hAnsi="Calibri"/>
                <w:b/>
                <w:color w:val="FFFFFF"/>
                <w:sz w:val="22"/>
              </w:rPr>
              <w:t>YUM (Indexed)</w:t>
            </w:r>
          </w:p>
        </w:tc>
        <w:tc>
          <w:tcPr>
            <w:tcW w:type="dxa" w:w="2160"/>
            <w:shd w:val="clear" w:color="auto" w:fill="3B4259"/>
          </w:tcPr>
          <w:p>
            <w:r>
              <w:rPr>
                <w:rFonts w:ascii="Calibri" w:hAnsi="Calibri"/>
                <w:b/>
                <w:color w:val="FFFFFF"/>
                <w:sz w:val="22"/>
              </w:rPr>
              <w:t>XLY (Indexed)</w:t>
            </w:r>
          </w:p>
        </w:tc>
        <w:tc>
          <w:tcPr>
            <w:tcW w:type="dxa" w:w="2160"/>
            <w:shd w:val="clear" w:color="auto" w:fill="3B4259"/>
          </w:tcPr>
          <w:p>
            <w:r>
              <w:rPr>
                <w:rFonts w:ascii="Calibri" w:hAnsi="Calibri"/>
                <w:b/>
                <w:color w:val="FFFFFF"/>
                <w:sz w:val="22"/>
              </w:rPr>
              <w:t>SPY (Indexed)</w:t>
            </w:r>
          </w:p>
        </w:tc>
      </w:tr>
      <w:tr>
        <w:tc>
          <w:tcPr>
            <w:tcW w:type="dxa" w:w="2160"/>
          </w:tcPr>
          <w:p>
            <w:r>
              <w:rPr>
                <w:rFonts w:ascii="Calibri" w:hAnsi="Calibri"/>
                <w:sz w:val="22"/>
              </w:rPr>
              <w:t>May 6, 2026 (Q1 Earnings)</w:t>
            </w:r>
          </w:p>
        </w:tc>
        <w:tc>
          <w:tcPr>
            <w:tcW w:type="dxa" w:w="2160"/>
          </w:tcPr>
          <w:p>
            <w:r>
              <w:rPr>
                <w:rFonts w:ascii="Calibri" w:hAnsi="Calibri"/>
                <w:sz w:val="22"/>
              </w:rPr>
              <w:t>100.0</w:t>
            </w:r>
          </w:p>
        </w:tc>
        <w:tc>
          <w:tcPr>
            <w:tcW w:type="dxa" w:w="2160"/>
          </w:tcPr>
          <w:p>
            <w:r>
              <w:rPr>
                <w:rFonts w:ascii="Calibri" w:hAnsi="Calibri"/>
                <w:sz w:val="22"/>
              </w:rPr>
              <w:t>100.0</w:t>
            </w:r>
          </w:p>
        </w:tc>
        <w:tc>
          <w:tcPr>
            <w:tcW w:type="dxa" w:w="2160"/>
          </w:tcPr>
          <w:p>
            <w:r>
              <w:rPr>
                <w:rFonts w:ascii="Calibri" w:hAnsi="Calibri"/>
                <w:sz w:val="22"/>
              </w:rPr>
              <w:t>100.0</w:t>
            </w:r>
          </w:p>
        </w:tc>
      </w:tr>
      <w:tr>
        <w:tc>
          <w:tcPr>
            <w:tcW w:type="dxa" w:w="2160"/>
          </w:tcPr>
          <w:p>
            <w:r>
              <w:rPr>
                <w:rFonts w:ascii="Calibri" w:hAnsi="Calibri"/>
                <w:sz w:val="22"/>
              </w:rPr>
              <w:t>Jun 16, 2026 (Pizza Hut Sale Announced)</w:t>
            </w:r>
          </w:p>
        </w:tc>
        <w:tc>
          <w:tcPr>
            <w:tcW w:type="dxa" w:w="2160"/>
          </w:tcPr>
          <w:p>
            <w:r>
              <w:rPr>
                <w:rFonts w:ascii="Calibri" w:hAnsi="Calibri"/>
                <w:sz w:val="22"/>
              </w:rPr>
              <w:t>101.1</w:t>
            </w:r>
          </w:p>
        </w:tc>
        <w:tc>
          <w:tcPr>
            <w:tcW w:type="dxa" w:w="2160"/>
          </w:tcPr>
          <w:p>
            <w:r>
              <w:rPr>
                <w:rFonts w:ascii="Calibri" w:hAnsi="Calibri"/>
                <w:sz w:val="22"/>
              </w:rPr>
              <w:t>98.8</w:t>
            </w:r>
          </w:p>
        </w:tc>
        <w:tc>
          <w:tcPr>
            <w:tcW w:type="dxa" w:w="2160"/>
          </w:tcPr>
          <w:p>
            <w:r>
              <w:rPr>
                <w:rFonts w:ascii="Calibri" w:hAnsi="Calibri"/>
                <w:sz w:val="22"/>
              </w:rPr>
              <w:t>102.2</w:t>
            </w:r>
          </w:p>
        </w:tc>
      </w:tr>
      <w:tr>
        <w:tc>
          <w:tcPr>
            <w:tcW w:type="dxa" w:w="2160"/>
          </w:tcPr>
          <w:p>
            <w:r>
              <w:rPr>
                <w:rFonts w:ascii="Calibri" w:hAnsi="Calibri"/>
                <w:sz w:val="22"/>
              </w:rPr>
              <w:t>Jun 30, 2026 (Q2 End)</w:t>
            </w:r>
          </w:p>
        </w:tc>
        <w:tc>
          <w:tcPr>
            <w:tcW w:type="dxa" w:w="2160"/>
          </w:tcPr>
          <w:p>
            <w:r>
              <w:rPr>
                <w:rFonts w:ascii="Calibri" w:hAnsi="Calibri"/>
                <w:sz w:val="22"/>
              </w:rPr>
              <w:t>102.5</w:t>
            </w:r>
          </w:p>
        </w:tc>
        <w:tc>
          <w:tcPr>
            <w:tcW w:type="dxa" w:w="2160"/>
          </w:tcPr>
          <w:p>
            <w:r>
              <w:rPr>
                <w:rFonts w:ascii="Calibri" w:hAnsi="Calibri"/>
                <w:sz w:val="22"/>
              </w:rPr>
              <w:t>97.8</w:t>
            </w:r>
          </w:p>
        </w:tc>
        <w:tc>
          <w:tcPr>
            <w:tcW w:type="dxa" w:w="2160"/>
          </w:tcPr>
          <w:p>
            <w:r>
              <w:rPr>
                <w:rFonts w:ascii="Calibri" w:hAnsi="Calibri"/>
                <w:sz w:val="22"/>
              </w:rPr>
              <w:t>101.8</w:t>
            </w:r>
          </w:p>
        </w:tc>
      </w:tr>
      <w:tr>
        <w:tc>
          <w:tcPr>
            <w:tcW w:type="dxa" w:w="2160"/>
          </w:tcPr>
          <w:p>
            <w:r>
              <w:rPr>
                <w:rFonts w:ascii="Calibri" w:hAnsi="Calibri"/>
                <w:sz w:val="22"/>
              </w:rPr>
              <w:t>Jul 7, 2026 (Peak)</w:t>
            </w:r>
          </w:p>
        </w:tc>
        <w:tc>
          <w:tcPr>
            <w:tcW w:type="dxa" w:w="2160"/>
          </w:tcPr>
          <w:p>
            <w:r>
              <w:rPr>
                <w:rFonts w:ascii="Calibri" w:hAnsi="Calibri"/>
                <w:sz w:val="22"/>
              </w:rPr>
              <w:t>107.4</w:t>
            </w:r>
          </w:p>
        </w:tc>
        <w:tc>
          <w:tcPr>
            <w:tcW w:type="dxa" w:w="2160"/>
          </w:tcPr>
          <w:p>
            <w:r>
              <w:rPr>
                <w:rFonts w:ascii="Calibri" w:hAnsi="Calibri"/>
                <w:sz w:val="22"/>
              </w:rPr>
              <w:t>97.9</w:t>
            </w:r>
          </w:p>
        </w:tc>
        <w:tc>
          <w:tcPr>
            <w:tcW w:type="dxa" w:w="2160"/>
          </w:tcPr>
          <w:p>
            <w:r>
              <w:rPr>
                <w:rFonts w:ascii="Calibri" w:hAnsi="Calibri"/>
                <w:sz w:val="22"/>
              </w:rPr>
              <w:t>102.0</w:t>
            </w:r>
          </w:p>
        </w:tc>
      </w:tr>
      <w:tr>
        <w:tc>
          <w:tcPr>
            <w:tcW w:type="dxa" w:w="2160"/>
          </w:tcPr>
          <w:p>
            <w:r>
              <w:rPr>
                <w:rFonts w:ascii="Calibri" w:hAnsi="Calibri"/>
                <w:sz w:val="22"/>
              </w:rPr>
              <w:t>Jul 14–17, 2026 (Cyclospora Outbreak Named)</w:t>
            </w:r>
          </w:p>
        </w:tc>
        <w:tc>
          <w:tcPr>
            <w:tcW w:type="dxa" w:w="2160"/>
          </w:tcPr>
          <w:p>
            <w:r>
              <w:rPr>
                <w:rFonts w:ascii="Calibri" w:hAnsi="Calibri"/>
                <w:sz w:val="22"/>
              </w:rPr>
              <w:t>101.4 → 94.8</w:t>
            </w:r>
          </w:p>
        </w:tc>
        <w:tc>
          <w:tcPr>
            <w:tcW w:type="dxa" w:w="2160"/>
          </w:tcPr>
          <w:p>
            <w:r>
              <w:rPr>
                <w:rFonts w:ascii="Calibri" w:hAnsi="Calibri"/>
                <w:sz w:val="22"/>
              </w:rPr>
              <w:t>96.7 → 96.3</w:t>
            </w:r>
          </w:p>
        </w:tc>
        <w:tc>
          <w:tcPr>
            <w:tcW w:type="dxa" w:w="2160"/>
          </w:tcPr>
          <w:p>
            <w:r>
              <w:rPr>
                <w:rFonts w:ascii="Calibri" w:hAnsi="Calibri"/>
                <w:sz w:val="22"/>
              </w:rPr>
              <w:t>102.5 → 101.3</w:t>
            </w:r>
          </w:p>
        </w:tc>
      </w:tr>
      <w:tr>
        <w:tc>
          <w:tcPr>
            <w:tcW w:type="dxa" w:w="2160"/>
          </w:tcPr>
          <w:p>
            <w:r>
              <w:rPr>
                <w:rFonts w:ascii="Calibri" w:hAnsi="Calibri"/>
                <w:sz w:val="22"/>
              </w:rPr>
              <w:t>Jul 29, 2026 (Latest)</w:t>
            </w:r>
          </w:p>
        </w:tc>
        <w:tc>
          <w:tcPr>
            <w:tcW w:type="dxa" w:w="2160"/>
          </w:tcPr>
          <w:p>
            <w:r>
              <w:rPr>
                <w:rFonts w:ascii="Calibri" w:hAnsi="Calibri"/>
                <w:sz w:val="22"/>
              </w:rPr>
              <w:t>97.4</w:t>
            </w:r>
          </w:p>
        </w:tc>
        <w:tc>
          <w:tcPr>
            <w:tcW w:type="dxa" w:w="2160"/>
          </w:tcPr>
          <w:p>
            <w:r>
              <w:rPr>
                <w:rFonts w:ascii="Calibri" w:hAnsi="Calibri"/>
                <w:sz w:val="22"/>
              </w:rPr>
              <w:t>93.1</w:t>
            </w:r>
          </w:p>
        </w:tc>
        <w:tc>
          <w:tcPr>
            <w:tcW w:type="dxa" w:w="2160"/>
          </w:tcPr>
          <w:p>
            <w:r>
              <w:rPr>
                <w:rFonts w:ascii="Calibri" w:hAnsi="Calibri"/>
                <w:sz w:val="22"/>
              </w:rPr>
              <w:t>99.4</w:t>
            </w:r>
          </w:p>
        </w:tc>
      </w:tr>
    </w:tbl>
    <w:p>
      <w:r>
        <w:rPr>
          <w:rFonts w:ascii="Calibri" w:hAnsi="Calibri"/>
          <w:b/>
          <w:color w:val="525866"/>
          <w:sz w:val="22"/>
        </w:rPr>
        <w:t xml:space="preserve">Note: </w:t>
      </w:r>
      <w:r>
        <w:rPr>
          <w:rFonts w:ascii="Calibri" w:hAnsi="Calibri"/>
          <w:color w:val="525866"/>
          <w:sz w:val="22"/>
        </w:rPr>
        <w:t>Indexed to 100 at May 6, 2026 (Q1 2026 earnings date). Sector ETF: XLY (Consumer Discretionary Select Sector SPDR), which is the most relevant broad consumer discretionary benchmark for YUM's QSR sub-sector. Source: Stock Price Data (Yahoo Finance).</w:t>
      </w:r>
    </w:p>
    <w:p>
      <w:r>
        <w:rPr>
          <w:rFonts w:ascii="Calibri" w:hAnsi="Calibri"/>
          <w:color w:val="525866"/>
          <w:sz w:val="22"/>
        </w:rPr>
        <w:t>Key Events on Chart:</w:t>
      </w:r>
    </w:p>
    <w:p>
      <w:pPr>
        <w:pStyle w:val="ListBullet"/>
        <w:ind w:left="360" w:hanging="360"/>
      </w:pPr>
      <w:r>
        <w:rPr>
          <w:rFonts w:ascii="Calibri" w:hAnsi="Calibri"/>
          <w:b/>
          <w:color w:val="525866"/>
          <w:sz w:val="22"/>
        </w:rPr>
        <w:t xml:space="preserve">May 6, 2026: </w:t>
      </w:r>
      <w:r>
        <w:rPr>
          <w:rFonts w:ascii="Calibri" w:hAnsi="Calibri"/>
          <w:color w:val="525866"/>
          <w:sz w:val="22"/>
        </w:rPr>
        <w:t>Q1 2026 earnings release (pre-market); stock opened higher on Taco Bell beat.</w:t>
      </w:r>
    </w:p>
    <w:p>
      <w:pPr>
        <w:pStyle w:val="ListBullet"/>
        <w:ind w:left="360" w:hanging="360"/>
      </w:pPr>
      <w:r>
        <w:rPr>
          <w:rFonts w:ascii="Calibri" w:hAnsi="Calibri"/>
          <w:b/>
          <w:color w:val="525866"/>
          <w:sz w:val="22"/>
        </w:rPr>
        <w:t xml:space="preserve">June 16, 2026: </w:t>
      </w:r>
      <w:r>
        <w:rPr>
          <w:rFonts w:ascii="Calibri" w:hAnsi="Calibri"/>
          <w:color w:val="525866"/>
          <w:sz w:val="22"/>
        </w:rPr>
        <w:t>Pizza Hut divestiture announced ($2.69B total proceeds); $4B incremental buyback authorized. Stock +2% on the day.</w:t>
      </w:r>
    </w:p>
    <w:p>
      <w:pPr>
        <w:pStyle w:val="ListBullet"/>
        <w:ind w:left="360" w:hanging="360"/>
      </w:pPr>
      <w:r>
        <w:rPr>
          <w:rFonts w:ascii="Calibri" w:hAnsi="Calibri"/>
          <w:b/>
          <w:color w:val="525866"/>
          <w:sz w:val="22"/>
        </w:rPr>
        <w:t xml:space="preserve">July 14–17, 2026: </w:t>
      </w:r>
      <w:r>
        <w:rPr>
          <w:rFonts w:ascii="Calibri" w:hAnsi="Calibri"/>
          <w:color w:val="525866"/>
          <w:sz w:val="22"/>
        </w:rPr>
        <w:t>Cyclospora outbreak linked to Taylor Farms lettuce at Taco Bell publicly identified; stock fell ~10% over three sessions from ~$167 to ~$148.</w:t>
      </w:r>
    </w:p>
    <w:p>
      <w:pPr>
        <w:pStyle w:val="ListBullet"/>
        <w:ind w:left="360" w:hanging="360"/>
      </w:pPr>
      <w:r>
        <w:rPr>
          <w:rFonts w:ascii="Calibri" w:hAnsi="Calibri"/>
          <w:b/>
          <w:color w:val="525866"/>
          <w:sz w:val="22"/>
        </w:rPr>
        <w:t xml:space="preserve">July 22, 2026: </w:t>
      </w:r>
      <w:r>
        <w:rPr>
          <w:rFonts w:ascii="Calibri" w:hAnsi="Calibri"/>
          <w:color w:val="525866"/>
          <w:sz w:val="22"/>
        </w:rPr>
        <w:t>FDA/CDC formally linked Taylor Farms shredded iceberg lettuce to outbreak; Taco Bell traffic reportedly down ~30% at peak.</w:t>
      </w:r>
    </w:p>
    <w:p>
      <w:r>
        <w:rPr>
          <w:rFonts w:ascii="Calibri" w:hAnsi="Calibri"/>
          <w:b/>
          <w:color w:val="525866"/>
          <w:sz w:val="22"/>
        </w:rPr>
        <w:t xml:space="preserve">Valuation Context: </w:t>
      </w:r>
      <w:r>
        <w:rPr>
          <w:rFonts w:ascii="Calibri" w:hAnsi="Calibri"/>
          <w:color w:val="525866"/>
          <w:sz w:val="22"/>
        </w:rPr>
        <w:t>NTM EV/EBITDA has compressed from ~16.8x (at Q1 earnings) to ~16.3x currently, consistent with the stock's underperformance. Over the trailing 12 months, YUM is up +5.3% but the multiple has contracted ~5.9%, meaning all of the price appreciation was driven by earnings growth, not re-rating. The current ~16.3x NTM EV/EBITDA is at the lower end of YUM's recent trading range and may represent a reasonable entry point if the cyclospora impact proves transient. Source: Stock Performance Decomposition Data.</w:t>
      </w:r>
    </w:p>
    <w:p>
      <w:pPr>
        <w:pStyle w:val="Heading2"/>
      </w:pPr>
      <w:r>
        <w:rPr>
          <w:rFonts w:ascii="Calibri" w:hAnsi="Calibri"/>
          <w:b/>
          <w:color w:val="3B4259"/>
          <w:sz w:val="28"/>
        </w:rPr>
        <w:t>6. Peer Commentary &amp; Q2 2026 Read-Throughs</w:t>
      </w:r>
    </w:p>
    <w:p>
      <w:r>
        <w:rPr>
          <w:rFonts w:ascii="Calibri" w:hAnsi="Calibri"/>
          <w:b/>
          <w:color w:val="525866"/>
          <w:sz w:val="22"/>
        </w:rPr>
        <w:t xml:space="preserve">Key Takeaway: </w:t>
      </w:r>
      <w:r>
        <w:rPr>
          <w:rFonts w:ascii="Calibri" w:hAnsi="Calibri"/>
          <w:color w:val="525866"/>
          <w:sz w:val="22"/>
        </w:rPr>
        <w:t xml:space="preserve">Peer data from Q2 2026 reporters paints a bifurcated picture: </w:t>
      </w:r>
      <w:r>
        <w:rPr>
          <w:rFonts w:ascii="Calibri" w:hAnsi="Calibri"/>
          <w:b/>
          <w:color w:val="525866"/>
          <w:sz w:val="22"/>
        </w:rPr>
        <w:t>Starbucks and Chipotle reported strong Q2 demand with broad-based transaction growth</w:t>
      </w:r>
      <w:r>
        <w:rPr>
          <w:rFonts w:ascii="Calibri" w:hAnsi="Calibri"/>
          <w:color w:val="525866"/>
          <w:sz w:val="22"/>
        </w:rPr>
        <w:t xml:space="preserve">, suggesting the QSR/fast-casual consumer was healthy through most of the quarter. However, </w:t>
      </w:r>
      <w:r>
        <w:rPr>
          <w:rFonts w:ascii="Calibri" w:hAnsi="Calibri"/>
          <w:b/>
          <w:color w:val="525866"/>
          <w:sz w:val="22"/>
        </w:rPr>
        <w:t>Wingstop's -7.5% SSS and Domino's flat U.S. comps signal that lower-income consumers remain under pressure</w:t>
      </w:r>
      <w:r>
        <w:rPr>
          <w:rFonts w:ascii="Calibri" w:hAnsi="Calibri"/>
          <w:color w:val="525866"/>
          <w:sz w:val="22"/>
        </w:rPr>
        <w:t xml:space="preserve"> — a dynamic that could weigh on Taco Bell's value-oriented customer base. The cyclospora outbreak is the idiosyncratic wildcard that no peer read-through can fully capture.</w:t>
      </w:r>
    </w:p>
    <w:p>
      <w:r>
        <w:rPr>
          <w:rFonts w:ascii="Calibri" w:hAnsi="Calibri"/>
          <w:b/>
          <w:color w:val="525866"/>
          <w:sz w:val="22"/>
        </w:rPr>
        <w:t xml:space="preserve">Note on Scope: </w:t>
      </w:r>
      <w:r>
        <w:rPr>
          <w:rFonts w:ascii="Calibri" w:hAnsi="Calibri"/>
          <w:color w:val="525866"/>
          <w:sz w:val="22"/>
        </w:rPr>
        <w:t>All commentary below is from Q2 2026 earnings calls (reporting on the April–June 2026 period) or from management commentary at conferences held during Q2 2026. Prior-quarter-only commentary and future-quarter guidance have been excluded per the user's instructions.</w:t>
      </w:r>
    </w:p>
    <w:p>
      <w:pPr>
        <w:pStyle w:val="Heading3"/>
      </w:pPr>
      <w:r>
        <w:rPr>
          <w:rFonts w:ascii="Calibri" w:hAnsi="Calibri"/>
          <w:b/>
          <w:color w:val="3B4259"/>
          <w:sz w:val="24"/>
        </w:rPr>
        <w:t>6a. Chipotle Mexican Grill (CMG) — Q2 2026 Earnings (Reported July 29, 2026)</w:t>
      </w:r>
    </w:p>
    <w:p>
      <w:r>
        <w:rPr>
          <w:rFonts w:ascii="Calibri" w:hAnsi="Calibri"/>
          <w:b/>
          <w:color w:val="525866"/>
          <w:sz w:val="22"/>
        </w:rPr>
        <w:t xml:space="preserve">Relevance: </w:t>
      </w:r>
      <w:r>
        <w:rPr>
          <w:rFonts w:ascii="Calibri" w:hAnsi="Calibri"/>
          <w:color w:val="525866"/>
          <w:sz w:val="22"/>
        </w:rPr>
        <w:t>CMG is the most direct fast-casual peer and a bellwether for consumer appetite for premium QSR. Its Q2 results provide a contemporaneous read on traffic, value perception, and the cyclospora impact on the broader restaurant sector.</w:t>
      </w:r>
    </w:p>
    <w:p>
      <w:pPr>
        <w:pStyle w:val="ListBullet"/>
        <w:ind w:left="360" w:hanging="360"/>
      </w:pPr>
      <w:r>
        <w:rPr>
          <w:rFonts w:ascii="Calibri" w:hAnsi="Calibri"/>
          <w:b/>
          <w:color w:val="525866"/>
          <w:sz w:val="22"/>
        </w:rPr>
        <w:t xml:space="preserve">Strong demand with transaction growth: </w:t>
      </w:r>
      <w:r>
        <w:rPr>
          <w:rFonts w:ascii="Calibri" w:hAnsi="Calibri"/>
          <w:color w:val="525866"/>
          <w:sz w:val="22"/>
        </w:rPr>
        <w:t xml:space="preserve">CMG reported Q2 revenue growth of +9.3% to $3.3B, with comparable restaurant sales up +2.2% driven by +1% transaction growth. Digital sales reached $1.3B (38.3% of total). Traffic improved throughout the quarter, indicating building momentum from menu innovation (Chipotle Honey Chicken, Cilantro Lime Sauce) and the revamped rewards program. </w:t>
      </w:r>
      <w:r>
        <w:rPr>
          <w:rFonts w:ascii="Calibri" w:hAnsi="Calibri"/>
          <w:b/>
          <w:color w:val="525866"/>
          <w:sz w:val="22"/>
        </w:rPr>
        <w:t xml:space="preserve">Read-through for YUM: </w:t>
      </w:r>
      <w:r>
        <w:rPr>
          <w:rFonts w:ascii="Calibri" w:hAnsi="Calibri"/>
          <w:color w:val="525866"/>
          <w:sz w:val="22"/>
        </w:rPr>
        <w:t>Positive — consumer demand for QSR/fast-casual was healthy in Q2, supporting Taco Bell's strong SSS setup.</w:t>
      </w:r>
    </w:p>
    <w:p>
      <w:pPr>
        <w:pStyle w:val="ListBullet"/>
        <w:ind w:left="360" w:hanging="360"/>
      </w:pPr>
      <w:r>
        <w:rPr>
          <w:rFonts w:ascii="Calibri" w:hAnsi="Calibri"/>
          <w:b/>
          <w:color w:val="525866"/>
          <w:sz w:val="22"/>
        </w:rPr>
        <w:t xml:space="preserve">Lower-income consumer improvement: </w:t>
      </w:r>
      <w:r>
        <w:rPr>
          <w:rFonts w:ascii="Calibri" w:hAnsi="Calibri"/>
          <w:color w:val="525866"/>
          <w:sz w:val="22"/>
        </w:rPr>
        <w:t xml:space="preserve">CMG noted that "younger and lower-income cohorts showed the most improvement compared to other groups in Q2," with the company reporting its highest year-over-year gains in wallet share since 2024. </w:t>
      </w:r>
      <w:r>
        <w:rPr>
          <w:rFonts w:ascii="Calibri" w:hAnsi="Calibri"/>
          <w:b/>
          <w:color w:val="525866"/>
          <w:sz w:val="22"/>
        </w:rPr>
        <w:t xml:space="preserve">Read-through for YUM: </w:t>
      </w:r>
      <w:r>
        <w:rPr>
          <w:rFonts w:ascii="Calibri" w:hAnsi="Calibri"/>
          <w:color w:val="525866"/>
          <w:sz w:val="22"/>
        </w:rPr>
        <w:t>Modestly positive for Taco Bell, which skews toward value-conscious consumers.</w:t>
      </w:r>
    </w:p>
    <w:p>
      <w:pPr>
        <w:pStyle w:val="ListBullet"/>
        <w:ind w:left="360" w:hanging="360"/>
      </w:pPr>
      <w:r>
        <w:rPr>
          <w:rFonts w:ascii="Calibri" w:hAnsi="Calibri"/>
          <w:b/>
          <w:color w:val="525866"/>
          <w:sz w:val="22"/>
        </w:rPr>
        <w:t xml:space="preserve">Cyclospora industry impact in late July: </w:t>
      </w:r>
      <w:r>
        <w:rPr>
          <w:rFonts w:ascii="Calibri" w:hAnsi="Calibri"/>
          <w:color w:val="525866"/>
          <w:sz w:val="22"/>
        </w:rPr>
        <w:t xml:space="preserve">CMG explicitly flagged a "softening trend in the second half of July, with a decline of approximately 200 basis points, attributed to an industry-wide issue around Cyclospora." CMG clarified it is not involved in the cyclospora conversation as its lettuces are sourced in California. </w:t>
      </w:r>
      <w:r>
        <w:rPr>
          <w:rFonts w:ascii="Calibri" w:hAnsi="Calibri"/>
          <w:b/>
          <w:color w:val="525866"/>
          <w:sz w:val="22"/>
        </w:rPr>
        <w:t xml:space="preserve">Read-through for YUM: </w:t>
      </w:r>
      <w:r>
        <w:rPr>
          <w:rFonts w:ascii="Calibri" w:hAnsi="Calibri"/>
          <w:color w:val="525866"/>
          <w:sz w:val="22"/>
        </w:rPr>
        <w:t>Highly relevant — even CMG (not implicated) saw ~200 bps of comp headwind from the outbreak. For Taco Bell (directly named), the impact was far more severe (traffic reportedly down ~30% at peak). This confirms the outbreak is a real, measurable industry headwind.</w:t>
      </w:r>
    </w:p>
    <w:p>
      <w:pPr>
        <w:pStyle w:val="ListBullet"/>
        <w:ind w:left="360" w:hanging="360"/>
      </w:pPr>
      <w:r>
        <w:rPr>
          <w:rFonts w:ascii="Calibri" w:hAnsi="Calibri"/>
          <w:b/>
          <w:color w:val="525866"/>
          <w:sz w:val="22"/>
        </w:rPr>
        <w:t xml:space="preserve">Commodity environment: </w:t>
      </w:r>
      <w:r>
        <w:rPr>
          <w:rFonts w:ascii="Calibri" w:hAnsi="Calibri"/>
          <w:color w:val="525866"/>
          <w:sz w:val="22"/>
        </w:rPr>
        <w:t xml:space="preserve">Cost of sales were 29.7% (+80 bps YoY), with inflation driven by beef and freight. </w:t>
      </w:r>
      <w:r>
        <w:rPr>
          <w:rFonts w:ascii="Calibri" w:hAnsi="Calibri"/>
          <w:b/>
          <w:color w:val="525866"/>
          <w:sz w:val="22"/>
        </w:rPr>
        <w:t xml:space="preserve">Read-through for YUM: </w:t>
      </w:r>
      <w:r>
        <w:rPr>
          <w:rFonts w:ascii="Calibri" w:hAnsi="Calibri"/>
          <w:color w:val="525866"/>
          <w:sz w:val="22"/>
        </w:rPr>
        <w:t>Modest negative — beef inflation is relevant for Taco Bell's cost structure.</w:t>
      </w:r>
    </w:p>
    <w:p>
      <w:pPr>
        <w:pStyle w:val="ListBullet"/>
        <w:ind w:left="360" w:hanging="360"/>
      </w:pPr>
      <w:r>
        <w:rPr>
          <w:rFonts w:ascii="Calibri" w:hAnsi="Calibri"/>
          <w:b/>
          <w:color w:val="525866"/>
          <w:sz w:val="22"/>
        </w:rPr>
        <w:t xml:space="preserve">Pricing modest: </w:t>
      </w:r>
      <w:r>
        <w:rPr>
          <w:rFonts w:ascii="Calibri" w:hAnsi="Calibri"/>
          <w:color w:val="525866"/>
          <w:sz w:val="22"/>
        </w:rPr>
        <w:t xml:space="preserve">Pricing contributed ~1.6% to Q2 comps, with value perception improving. </w:t>
      </w:r>
      <w:r>
        <w:rPr>
          <w:rFonts w:ascii="Calibri" w:hAnsi="Calibri"/>
          <w:b/>
          <w:color w:val="525866"/>
          <w:sz w:val="22"/>
        </w:rPr>
        <w:t xml:space="preserve">Read-through for YUM: </w:t>
      </w:r>
      <w:r>
        <w:rPr>
          <w:rFonts w:ascii="Calibri" w:hAnsi="Calibri"/>
          <w:color w:val="525866"/>
          <w:sz w:val="22"/>
        </w:rPr>
        <w:t>Neutral — consistent with a rational pricing environment across QSR.</w:t>
      </w:r>
    </w:p>
    <w:p>
      <w:pPr>
        <w:pStyle w:val="Heading3"/>
      </w:pPr>
      <w:r>
        <w:rPr>
          <w:rFonts w:ascii="Calibri" w:hAnsi="Calibri"/>
          <w:b/>
          <w:color w:val="3B4259"/>
          <w:sz w:val="24"/>
        </w:rPr>
        <w:t>6b. Starbucks (SBUX) — Q3 FY2026 Earnings (Reported July 29, 2026; Quarter Ended June 28, 2026)</w:t>
      </w:r>
    </w:p>
    <w:p>
      <w:r>
        <w:rPr>
          <w:rFonts w:ascii="Calibri" w:hAnsi="Calibri"/>
          <w:b/>
          <w:color w:val="525866"/>
          <w:sz w:val="22"/>
        </w:rPr>
        <w:t xml:space="preserve">Relevance: </w:t>
      </w:r>
      <w:r>
        <w:rPr>
          <w:rFonts w:ascii="Calibri" w:hAnsi="Calibri"/>
          <w:color w:val="525866"/>
          <w:sz w:val="22"/>
        </w:rPr>
        <w:t>SBUX's fiscal Q3 (April–June 2026) is contemporaneous with YUM's Q2 2026. Starbucks is a major global QSR operator and its results provide a read on consumer health, traffic trends, and the international operating environment.</w:t>
      </w:r>
    </w:p>
    <w:p>
      <w:pPr>
        <w:pStyle w:val="ListBullet"/>
        <w:ind w:left="360" w:hanging="360"/>
      </w:pPr>
      <w:r>
        <w:rPr>
          <w:rFonts w:ascii="Calibri" w:hAnsi="Calibri"/>
          <w:b/>
          <w:color w:val="525866"/>
          <w:sz w:val="22"/>
        </w:rPr>
        <w:t xml:space="preserve">Broad-based demand recovery: </w:t>
      </w:r>
      <w:r>
        <w:rPr>
          <w:rFonts w:ascii="Calibri" w:hAnsi="Calibri"/>
          <w:color w:val="525866"/>
          <w:sz w:val="22"/>
        </w:rPr>
        <w:t xml:space="preserve">SBUX reported global comp growth of +7.9% in Q3, led by transaction growth of +4.2% and ticket growth of +3.6%. U.S. comps were +7.9%. Growth was "broad based across dayparts, income levels, and access points" and across "generations and income groups." </w:t>
      </w:r>
      <w:r>
        <w:rPr>
          <w:rFonts w:ascii="Calibri" w:hAnsi="Calibri"/>
          <w:b/>
          <w:color w:val="525866"/>
          <w:sz w:val="22"/>
        </w:rPr>
        <w:t xml:space="preserve">Read-through for YUM: </w:t>
      </w:r>
      <w:r>
        <w:rPr>
          <w:rFonts w:ascii="Calibri" w:hAnsi="Calibri"/>
          <w:color w:val="525866"/>
          <w:sz w:val="22"/>
        </w:rPr>
        <w:t>Positive — the QSR consumer was broadly healthy in Q2/Q3, supporting Taco Bell's setup.</w:t>
      </w:r>
    </w:p>
    <w:p>
      <w:pPr>
        <w:pStyle w:val="ListBullet"/>
        <w:ind w:left="360" w:hanging="360"/>
      </w:pPr>
      <w:r>
        <w:rPr>
          <w:rFonts w:ascii="Calibri" w:hAnsi="Calibri"/>
          <w:b/>
          <w:color w:val="525866"/>
          <w:sz w:val="22"/>
        </w:rPr>
        <w:t xml:space="preserve">Lower-income consumer still under stress: </w:t>
      </w:r>
      <w:r>
        <w:rPr>
          <w:rFonts w:ascii="Calibri" w:hAnsi="Calibri"/>
          <w:color w:val="525866"/>
          <w:sz w:val="22"/>
        </w:rPr>
        <w:t xml:space="preserve">Despite strong overall results, SBUX CEO Brian Niccol noted at the June 9 Evercore Conference that "the low-income consumer is under more stress than they ever have been, and they're going to be more choiceful with the dollars that they choose to spend." </w:t>
      </w:r>
      <w:r>
        <w:rPr>
          <w:rFonts w:ascii="Calibri" w:hAnsi="Calibri"/>
          <w:b/>
          <w:color w:val="525866"/>
          <w:sz w:val="22"/>
        </w:rPr>
        <w:t xml:space="preserve">Read-through for YUM: </w:t>
      </w:r>
      <w:r>
        <w:rPr>
          <w:rFonts w:ascii="Calibri" w:hAnsi="Calibri"/>
          <w:color w:val="525866"/>
          <w:sz w:val="22"/>
        </w:rPr>
        <w:t>Mixed — Taco Bell's core value-oriented customer base may face incremental pressure, though Taco Bell's value proposition is stronger than Starbucks'.</w:t>
      </w:r>
    </w:p>
    <w:p>
      <w:pPr>
        <w:pStyle w:val="ListBullet"/>
        <w:ind w:left="360" w:hanging="360"/>
      </w:pPr>
      <w:r>
        <w:rPr>
          <w:rFonts w:ascii="Calibri" w:hAnsi="Calibri"/>
          <w:b/>
          <w:color w:val="525866"/>
          <w:sz w:val="22"/>
        </w:rPr>
        <w:t xml:space="preserve">Commodity: lower inflation, coffee still a headwind: </w:t>
      </w:r>
      <w:r>
        <w:rPr>
          <w:rFonts w:ascii="Calibri" w:hAnsi="Calibri"/>
          <w:color w:val="525866"/>
          <w:sz w:val="22"/>
        </w:rPr>
        <w:t xml:space="preserve">SBUX cited "lower inflation paired with reciprocal tariff refunds" as a driver of 430 bps of operating margin expansion. Coffee remained a cost headwind but its impact was lower than prior quarters. </w:t>
      </w:r>
      <w:r>
        <w:rPr>
          <w:rFonts w:ascii="Calibri" w:hAnsi="Calibri"/>
          <w:b/>
          <w:color w:val="525866"/>
          <w:sz w:val="22"/>
        </w:rPr>
        <w:t xml:space="preserve">Read-through for YUM: </w:t>
      </w:r>
      <w:r>
        <w:rPr>
          <w:rFonts w:ascii="Calibri" w:hAnsi="Calibri"/>
          <w:color w:val="525866"/>
          <w:sz w:val="22"/>
        </w:rPr>
        <w:t>Positive — easing commodity inflation is a tailwind for restaurant margins broadly.</w:t>
      </w:r>
    </w:p>
    <w:p>
      <w:pPr>
        <w:pStyle w:val="ListBullet"/>
        <w:ind w:left="360" w:hanging="360"/>
      </w:pPr>
      <w:r>
        <w:rPr>
          <w:rFonts w:ascii="Calibri" w:hAnsi="Calibri"/>
          <w:b/>
          <w:color w:val="525866"/>
          <w:sz w:val="22"/>
        </w:rPr>
        <w:t xml:space="preserve">International strength (Japan, UK): </w:t>
      </w:r>
      <w:r>
        <w:rPr>
          <w:rFonts w:ascii="Calibri" w:hAnsi="Calibri"/>
          <w:color w:val="525866"/>
          <w:sz w:val="22"/>
        </w:rPr>
        <w:t xml:space="preserve">International company-operated comps grew +5.7%, driven by Japan and the UK. </w:t>
      </w:r>
      <w:r>
        <w:rPr>
          <w:rFonts w:ascii="Calibri" w:hAnsi="Calibri"/>
          <w:b/>
          <w:color w:val="525866"/>
          <w:sz w:val="22"/>
        </w:rPr>
        <w:t xml:space="preserve">Read-through for YUM: </w:t>
      </w:r>
      <w:r>
        <w:rPr>
          <w:rFonts w:ascii="Calibri" w:hAnsi="Calibri"/>
          <w:color w:val="525866"/>
          <w:sz w:val="22"/>
        </w:rPr>
        <w:t>Positive for KFC UK (which posted 7% SSS in Q1 2026) and KFC international broadly.</w:t>
      </w:r>
    </w:p>
    <w:p>
      <w:pPr>
        <w:pStyle w:val="ListBullet"/>
        <w:ind w:left="360" w:hanging="360"/>
      </w:pPr>
      <w:r>
        <w:rPr>
          <w:rFonts w:ascii="Calibri" w:hAnsi="Calibri"/>
          <w:b/>
          <w:color w:val="525866"/>
          <w:sz w:val="22"/>
        </w:rPr>
        <w:t xml:space="preserve">Higher fuel prices flagged: </w:t>
      </w:r>
      <w:r>
        <w:rPr>
          <w:rFonts w:ascii="Calibri" w:hAnsi="Calibri"/>
          <w:color w:val="525866"/>
          <w:sz w:val="22"/>
        </w:rPr>
        <w:t xml:space="preserve">At the June 9 Evercore Conference, Niccol noted "right now, I'm dealing with some higher fuel prices" as a cost headwind. </w:t>
      </w:r>
      <w:r>
        <w:rPr>
          <w:rFonts w:ascii="Calibri" w:hAnsi="Calibri"/>
          <w:b/>
          <w:color w:val="525866"/>
          <w:sz w:val="22"/>
        </w:rPr>
        <w:t xml:space="preserve">Read-through for YUM: </w:t>
      </w:r>
      <w:r>
        <w:rPr>
          <w:rFonts w:ascii="Calibri" w:hAnsi="Calibri"/>
          <w:color w:val="525866"/>
          <w:sz w:val="22"/>
        </w:rPr>
        <w:t>Minor negative — higher fuel costs affect delivery and supply chain costs across QSR.</w:t>
      </w:r>
    </w:p>
    <w:p>
      <w:pPr>
        <w:pStyle w:val="Heading3"/>
      </w:pPr>
      <w:r>
        <w:rPr>
          <w:rFonts w:ascii="Calibri" w:hAnsi="Calibri"/>
          <w:b/>
          <w:color w:val="3B4259"/>
          <w:sz w:val="24"/>
        </w:rPr>
        <w:t>6c. Domino's Pizza (DPZ) — Q2 2026 Earnings (Reported July 20, 2026)</w:t>
      </w:r>
    </w:p>
    <w:p>
      <w:r>
        <w:rPr>
          <w:rFonts w:ascii="Calibri" w:hAnsi="Calibri"/>
          <w:b/>
          <w:color w:val="525866"/>
          <w:sz w:val="22"/>
        </w:rPr>
        <w:t xml:space="preserve">Relevance: </w:t>
      </w:r>
      <w:r>
        <w:rPr>
          <w:rFonts w:ascii="Calibri" w:hAnsi="Calibri"/>
          <w:color w:val="525866"/>
          <w:sz w:val="22"/>
        </w:rPr>
        <w:t>DPZ is a global QSR franchisor with significant international exposure, making it a useful read-through for both U.S. consumer health and international franchise dynamics.</w:t>
      </w:r>
    </w:p>
    <w:p>
      <w:pPr>
        <w:pStyle w:val="ListBullet"/>
        <w:ind w:left="360" w:hanging="360"/>
      </w:pPr>
      <w:r>
        <w:rPr>
          <w:rFonts w:ascii="Calibri" w:hAnsi="Calibri"/>
          <w:b/>
          <w:color w:val="525866"/>
          <w:sz w:val="22"/>
        </w:rPr>
        <w:t xml:space="preserve">QSR order counts flat in Q2: </w:t>
      </w:r>
      <w:r>
        <w:rPr>
          <w:rFonts w:ascii="Calibri" w:hAnsi="Calibri"/>
          <w:color w:val="525866"/>
          <w:sz w:val="22"/>
        </w:rPr>
        <w:t xml:space="preserve">DPZ management stated that "the QSR industry in the US has been struggling with order counts during a difficult period of macroeconomic uncertainty" and that "QSR order counts were flat" in Q2. </w:t>
      </w:r>
      <w:r>
        <w:rPr>
          <w:rFonts w:ascii="Calibri" w:hAnsi="Calibri"/>
          <w:b/>
          <w:color w:val="525866"/>
          <w:sz w:val="22"/>
        </w:rPr>
        <w:t xml:space="preserve">Read-through for YUM: </w:t>
      </w:r>
      <w:r>
        <w:rPr>
          <w:rFonts w:ascii="Calibri" w:hAnsi="Calibri"/>
          <w:color w:val="525866"/>
          <w:sz w:val="22"/>
        </w:rPr>
        <w:t>Mixed — flat industry order counts are a headwind for Taco Bell's transaction growth ambitions, though Taco Bell has consistently outperformed the industry.</w:t>
      </w:r>
    </w:p>
    <w:p>
      <w:pPr>
        <w:pStyle w:val="ListBullet"/>
        <w:ind w:left="360" w:hanging="360"/>
      </w:pPr>
      <w:r>
        <w:rPr>
          <w:rFonts w:ascii="Calibri" w:hAnsi="Calibri"/>
          <w:b/>
          <w:color w:val="525866"/>
          <w:sz w:val="22"/>
        </w:rPr>
        <w:t xml:space="preserve">Challenging macro and competitive environment: </w:t>
      </w:r>
      <w:r>
        <w:rPr>
          <w:rFonts w:ascii="Calibri" w:hAnsi="Calibri"/>
          <w:color w:val="525866"/>
          <w:sz w:val="22"/>
        </w:rPr>
        <w:t xml:space="preserve">DPZ CFO noted the business "continued to be impacted by a challenging macro environment, which is pressuring consumers as well as heightened competition." Competitive pressures in QSR "continue through the quarter." </w:t>
      </w:r>
      <w:r>
        <w:rPr>
          <w:rFonts w:ascii="Calibri" w:hAnsi="Calibri"/>
          <w:b/>
          <w:color w:val="525866"/>
          <w:sz w:val="22"/>
        </w:rPr>
        <w:t xml:space="preserve">Read-through for YUM: </w:t>
      </w:r>
      <w:r>
        <w:rPr>
          <w:rFonts w:ascii="Calibri" w:hAnsi="Calibri"/>
          <w:color w:val="525866"/>
          <w:sz w:val="22"/>
        </w:rPr>
        <w:t>Negative — confirms a tough competitive backdrop for all QSR operators in Q2.</w:t>
      </w:r>
    </w:p>
    <w:p>
      <w:pPr>
        <w:pStyle w:val="ListBullet"/>
        <w:ind w:left="360" w:hanging="360"/>
      </w:pPr>
      <w:r>
        <w:rPr>
          <w:rFonts w:ascii="Calibri" w:hAnsi="Calibri"/>
          <w:b/>
          <w:color w:val="525866"/>
          <w:sz w:val="22"/>
        </w:rPr>
        <w:t xml:space="preserve">International comps soft: </w:t>
      </w:r>
      <w:r>
        <w:rPr>
          <w:rFonts w:ascii="Calibri" w:hAnsi="Calibri"/>
          <w:color w:val="525866"/>
          <w:sz w:val="22"/>
        </w:rPr>
        <w:t xml:space="preserve">DPZ international comps declined -0.1% vs. Street expectations of +0.6%, impacted by macro and geopolitical uncertainty. </w:t>
      </w:r>
      <w:r>
        <w:rPr>
          <w:rFonts w:ascii="Calibri" w:hAnsi="Calibri"/>
          <w:b/>
          <w:color w:val="525866"/>
          <w:sz w:val="22"/>
        </w:rPr>
        <w:t xml:space="preserve">Read-through for YUM: </w:t>
      </w:r>
      <w:r>
        <w:rPr>
          <w:rFonts w:ascii="Calibri" w:hAnsi="Calibri"/>
          <w:color w:val="525866"/>
          <w:sz w:val="22"/>
        </w:rPr>
        <w:t>Modest negative for KFC international, though KFC's geographic mix (heavy China, India, UK) differs from DPZ's.</w:t>
      </w:r>
    </w:p>
    <w:p>
      <w:pPr>
        <w:pStyle w:val="ListBullet"/>
        <w:ind w:left="360" w:hanging="360"/>
      </w:pPr>
      <w:r>
        <w:rPr>
          <w:rFonts w:ascii="Calibri" w:hAnsi="Calibri"/>
          <w:b/>
          <w:color w:val="525866"/>
          <w:sz w:val="22"/>
        </w:rPr>
        <w:t xml:space="preserve">Franchisee profitability pressure: </w:t>
      </w:r>
      <w:r>
        <w:rPr>
          <w:rFonts w:ascii="Calibri" w:hAnsi="Calibri"/>
          <w:color w:val="525866"/>
          <w:sz w:val="22"/>
        </w:rPr>
        <w:t xml:space="preserve">DPZ noted that pipeline pressure for new store development emerged due to "macro, coupled with the challenging start of the year that has impacted franchisee profitability." </w:t>
      </w:r>
      <w:r>
        <w:rPr>
          <w:rFonts w:ascii="Calibri" w:hAnsi="Calibri"/>
          <w:b/>
          <w:color w:val="525866"/>
          <w:sz w:val="22"/>
        </w:rPr>
        <w:t xml:space="preserve">Read-through for YUM: </w:t>
      </w:r>
      <w:r>
        <w:rPr>
          <w:rFonts w:ascii="Calibri" w:hAnsi="Calibri"/>
          <w:color w:val="525866"/>
          <w:sz w:val="22"/>
        </w:rPr>
        <w:t>Modest negative for unit development outlook, though YUM's franchisee base is generally better capitalized.</w:t>
      </w:r>
    </w:p>
    <w:p>
      <w:pPr>
        <w:pStyle w:val="ListBullet"/>
        <w:ind w:left="360" w:hanging="360"/>
      </w:pPr>
      <w:r>
        <w:rPr>
          <w:rFonts w:ascii="Calibri" w:hAnsi="Calibri"/>
          <w:b/>
          <w:color w:val="525866"/>
          <w:sz w:val="22"/>
        </w:rPr>
        <w:t xml:space="preserve">Value and order count growth: </w:t>
      </w:r>
      <w:r>
        <w:rPr>
          <w:rFonts w:ascii="Calibri" w:hAnsi="Calibri"/>
          <w:color w:val="525866"/>
          <w:sz w:val="22"/>
        </w:rPr>
        <w:t xml:space="preserve">Despite the miss on ticket, DPZ reported "order counts were up meaningfully" and "millions of new customers came to Domino's in Q1 and Q2," driven by value promotions. </w:t>
      </w:r>
      <w:r>
        <w:rPr>
          <w:rFonts w:ascii="Calibri" w:hAnsi="Calibri"/>
          <w:b/>
          <w:color w:val="525866"/>
          <w:sz w:val="22"/>
        </w:rPr>
        <w:t xml:space="preserve">Read-through for YUM: </w:t>
      </w:r>
      <w:r>
        <w:rPr>
          <w:rFonts w:ascii="Calibri" w:hAnsi="Calibri"/>
          <w:color w:val="525866"/>
          <w:sz w:val="22"/>
        </w:rPr>
        <w:t>Positive — value-driven traffic is working across QSR, consistent with Taco Bell's value-led strategy.</w:t>
      </w:r>
    </w:p>
    <w:p>
      <w:pPr>
        <w:pStyle w:val="Heading3"/>
      </w:pPr>
      <w:r>
        <w:rPr>
          <w:rFonts w:ascii="Calibri" w:hAnsi="Calibri"/>
          <w:b/>
          <w:color w:val="3B4259"/>
          <w:sz w:val="24"/>
        </w:rPr>
        <w:t>6d. Wingstop (WING) — Q2 2026 Earnings (Reported July 29, 2026)</w:t>
      </w:r>
    </w:p>
    <w:p>
      <w:r>
        <w:rPr>
          <w:rFonts w:ascii="Calibri" w:hAnsi="Calibri"/>
          <w:b/>
          <w:color w:val="525866"/>
          <w:sz w:val="22"/>
        </w:rPr>
        <w:t xml:space="preserve">Relevance: </w:t>
      </w:r>
      <w:r>
        <w:rPr>
          <w:rFonts w:ascii="Calibri" w:hAnsi="Calibri"/>
          <w:color w:val="525866"/>
          <w:sz w:val="22"/>
        </w:rPr>
        <w:t>WING is a high-growth QSR franchisor with a core lower-income urban consumer base — its Q2 results are a direct read-through for the health of Taco Bell's value-oriented customer segment.</w:t>
      </w:r>
    </w:p>
    <w:p>
      <w:pPr>
        <w:pStyle w:val="ListBullet"/>
        <w:ind w:left="360" w:hanging="360"/>
      </w:pPr>
      <w:r>
        <w:rPr>
          <w:rFonts w:ascii="Calibri" w:hAnsi="Calibri"/>
          <w:b/>
          <w:color w:val="525866"/>
          <w:sz w:val="22"/>
        </w:rPr>
        <w:t xml:space="preserve">Significant SSS miss driven by lower-income consumer pressure: </w:t>
      </w:r>
      <w:r>
        <w:rPr>
          <w:rFonts w:ascii="Calibri" w:hAnsi="Calibri"/>
          <w:color w:val="525866"/>
          <w:sz w:val="22"/>
        </w:rPr>
        <w:t xml:space="preserve">WING reported Q2 same-store sales of -7.5%, reflecting "continued pressure on our core consumer." Management noted that "more than 55% of our domestic restaurants are located in urban trade areas, where households are under more financial stress," with digital guest visits in those areas declining ~9% while higher-income trade areas actually grew. </w:t>
      </w:r>
      <w:r>
        <w:rPr>
          <w:rFonts w:ascii="Calibri" w:hAnsi="Calibri"/>
          <w:b/>
          <w:color w:val="525866"/>
          <w:sz w:val="22"/>
        </w:rPr>
        <w:t xml:space="preserve">Read-through for YUM: </w:t>
      </w:r>
      <w:r>
        <w:rPr>
          <w:rFonts w:ascii="Calibri" w:hAnsi="Calibri"/>
          <w:color w:val="525866"/>
          <w:sz w:val="22"/>
        </w:rPr>
        <w:t>Negative — the lower-income consumer segment that overlaps with Taco Bell's core customer base was under significant pressure in Q2. This is a meaningful risk factor for Taco Bell's SSS.</w:t>
      </w:r>
    </w:p>
    <w:p>
      <w:pPr>
        <w:pStyle w:val="ListBullet"/>
        <w:ind w:left="360" w:hanging="360"/>
      </w:pPr>
      <w:r>
        <w:rPr>
          <w:rFonts w:ascii="Calibri" w:hAnsi="Calibri"/>
          <w:b/>
          <w:color w:val="525866"/>
          <w:sz w:val="22"/>
        </w:rPr>
        <w:t xml:space="preserve">Macro and geopolitical factors cited: </w:t>
      </w:r>
      <w:r>
        <w:rPr>
          <w:rFonts w:ascii="Calibri" w:hAnsi="Calibri"/>
          <w:color w:val="525866"/>
          <w:sz w:val="22"/>
        </w:rPr>
        <w:t xml:space="preserve">WING management cited "the conflict in the Middle East and what happened with gas prices" as contributing to "incremental pressure on our core guests." </w:t>
      </w:r>
      <w:r>
        <w:rPr>
          <w:rFonts w:ascii="Calibri" w:hAnsi="Calibri"/>
          <w:b/>
          <w:color w:val="525866"/>
          <w:sz w:val="22"/>
        </w:rPr>
        <w:t xml:space="preserve">Read-through for YUM: </w:t>
      </w:r>
      <w:r>
        <w:rPr>
          <w:rFonts w:ascii="Calibri" w:hAnsi="Calibri"/>
          <w:color w:val="525866"/>
          <w:sz w:val="22"/>
        </w:rPr>
        <w:t>Negative — oil price spikes and geopolitical uncertainty are a headwind for value-oriented QSR consumers.</w:t>
      </w:r>
    </w:p>
    <w:p>
      <w:pPr>
        <w:pStyle w:val="ListBullet"/>
        <w:ind w:left="360" w:hanging="360"/>
      </w:pPr>
      <w:r>
        <w:rPr>
          <w:rFonts w:ascii="Calibri" w:hAnsi="Calibri"/>
          <w:b/>
          <w:color w:val="525866"/>
          <w:sz w:val="22"/>
        </w:rPr>
        <w:t xml:space="preserve">Value messaging intensifying across industry: </w:t>
      </w:r>
      <w:r>
        <w:rPr>
          <w:rFonts w:ascii="Calibri" w:hAnsi="Calibri"/>
          <w:color w:val="525866"/>
          <w:sz w:val="22"/>
        </w:rPr>
        <w:t xml:space="preserve">WING noted that "price-pointed messaging broadly across the industry has continued to intensify" and that "in this current environment, price is clearly playing a greater role in consumer's perception of value." </w:t>
      </w:r>
      <w:r>
        <w:rPr>
          <w:rFonts w:ascii="Calibri" w:hAnsi="Calibri"/>
          <w:b/>
          <w:color w:val="525866"/>
          <w:sz w:val="22"/>
        </w:rPr>
        <w:t xml:space="preserve">Read-through for YUM: </w:t>
      </w:r>
      <w:r>
        <w:rPr>
          <w:rFonts w:ascii="Calibri" w:hAnsi="Calibri"/>
          <w:color w:val="525866"/>
          <w:sz w:val="22"/>
        </w:rPr>
        <w:t>Mixed — Taco Bell's value proposition is strong, but the competitive value environment is intensifying.</w:t>
      </w:r>
    </w:p>
    <w:p>
      <w:pPr>
        <w:pStyle w:val="ListBullet"/>
        <w:ind w:left="360" w:hanging="360"/>
      </w:pPr>
      <w:r>
        <w:rPr>
          <w:rFonts w:ascii="Calibri" w:hAnsi="Calibri"/>
          <w:b/>
          <w:color w:val="525866"/>
          <w:sz w:val="22"/>
        </w:rPr>
        <w:t xml:space="preserve">International development healthy: </w:t>
      </w:r>
      <w:r>
        <w:rPr>
          <w:rFonts w:ascii="Calibri" w:hAnsi="Calibri"/>
          <w:color w:val="525866"/>
          <w:sz w:val="22"/>
        </w:rPr>
        <w:t xml:space="preserve">WING noted that "new restaurant development remains healthy across both our domestic and international business," with 2026 on pace for a record year of international openings. </w:t>
      </w:r>
      <w:r>
        <w:rPr>
          <w:rFonts w:ascii="Calibri" w:hAnsi="Calibri"/>
          <w:b/>
          <w:color w:val="525866"/>
          <w:sz w:val="22"/>
        </w:rPr>
        <w:t xml:space="preserve">Read-through for YUM: </w:t>
      </w:r>
      <w:r>
        <w:rPr>
          <w:rFonts w:ascii="Calibri" w:hAnsi="Calibri"/>
          <w:color w:val="525866"/>
          <w:sz w:val="22"/>
        </w:rPr>
        <w:t>Positive for KFC's international development pipeline.</w:t>
      </w:r>
    </w:p>
    <w:p>
      <w:pPr>
        <w:pStyle w:val="Heading3"/>
      </w:pPr>
      <w:r>
        <w:rPr>
          <w:rFonts w:ascii="Calibri" w:hAnsi="Calibri"/>
          <w:b/>
          <w:color w:val="3B4259"/>
          <w:sz w:val="24"/>
        </w:rPr>
        <w:t>6e. Starbucks at Evercore Consumer &amp; Retail Conference (June 9, 2026) — Mid-Q2 Management Commentary</w:t>
      </w:r>
    </w:p>
    <w:p>
      <w:r>
        <w:rPr>
          <w:rFonts w:ascii="Calibri" w:hAnsi="Calibri"/>
          <w:b/>
          <w:color w:val="525866"/>
          <w:sz w:val="22"/>
        </w:rPr>
        <w:t xml:space="preserve">Relevance: </w:t>
      </w:r>
      <w:r>
        <w:rPr>
          <w:rFonts w:ascii="Calibri" w:hAnsi="Calibri"/>
          <w:color w:val="525866"/>
          <w:sz w:val="22"/>
        </w:rPr>
        <w:t>This conference occurred during YUM's Q2 2026 (April–June) and provides contemporaneous management commentary on the operating environment.</w:t>
      </w:r>
    </w:p>
    <w:p>
      <w:pPr>
        <w:pStyle w:val="ListBullet"/>
        <w:ind w:left="360" w:hanging="360"/>
      </w:pPr>
      <w:r>
        <w:rPr>
          <w:rFonts w:ascii="Calibri" w:hAnsi="Calibri"/>
          <w:b/>
          <w:color w:val="525866"/>
          <w:sz w:val="22"/>
        </w:rPr>
        <w:t xml:space="preserve">Transactions not yet back to 2023/2019 levels: </w:t>
      </w:r>
      <w:r>
        <w:rPr>
          <w:rFonts w:ascii="Calibri" w:hAnsi="Calibri"/>
          <w:color w:val="525866"/>
          <w:sz w:val="22"/>
        </w:rPr>
        <w:t xml:space="preserve">SBUX CEO Niccol noted that "from a transaction standpoint, we're still not all the way back to 2023 levels or 2019 levels," implying significant headroom for recovery across the QSR category. </w:t>
      </w:r>
      <w:r>
        <w:rPr>
          <w:rFonts w:ascii="Calibri" w:hAnsi="Calibri"/>
          <w:b/>
          <w:color w:val="525866"/>
          <w:sz w:val="22"/>
        </w:rPr>
        <w:t xml:space="preserve">Read-through for YUM: </w:t>
      </w:r>
      <w:r>
        <w:rPr>
          <w:rFonts w:ascii="Calibri" w:hAnsi="Calibri"/>
          <w:color w:val="525866"/>
          <w:sz w:val="22"/>
        </w:rPr>
        <w:t>Positive — suggests the QSR industry has room to grow transactions, supporting Taco Bell's continued outperformance.</w:t>
      </w:r>
    </w:p>
    <w:p>
      <w:pPr>
        <w:pStyle w:val="ListBullet"/>
        <w:ind w:left="360" w:hanging="360"/>
      </w:pPr>
      <w:r>
        <w:rPr>
          <w:rFonts w:ascii="Calibri" w:hAnsi="Calibri"/>
          <w:b/>
          <w:color w:val="525866"/>
          <w:sz w:val="22"/>
        </w:rPr>
        <w:t xml:space="preserve">Beverages as a traffic driver: </w:t>
      </w:r>
      <w:r>
        <w:rPr>
          <w:rFonts w:ascii="Calibri" w:hAnsi="Calibri"/>
          <w:color w:val="525866"/>
          <w:sz w:val="22"/>
        </w:rPr>
        <w:t xml:space="preserve">Niccol emphasized that "drinks are a traffic driver" and highlighted platforms around "wellness, hydration, and energy." </w:t>
      </w:r>
      <w:r>
        <w:rPr>
          <w:rFonts w:ascii="Calibri" w:hAnsi="Calibri"/>
          <w:b/>
          <w:color w:val="525866"/>
          <w:sz w:val="22"/>
        </w:rPr>
        <w:t xml:space="preserve">Read-through for YUM: </w:t>
      </w:r>
      <w:r>
        <w:rPr>
          <w:rFonts w:ascii="Calibri" w:hAnsi="Calibri"/>
          <w:color w:val="525866"/>
          <w:sz w:val="22"/>
        </w:rPr>
        <w:t>Positive for Taco Bell's beverage expansion strategy ("Quench by KFC" and Taco Bell's specialty beverage platform), which management has highlighted as a high-incrementality growth driver.</w:t>
      </w:r>
    </w:p>
    <w:p>
      <w:pPr>
        <w:pStyle w:val="ListBullet"/>
        <w:ind w:left="360" w:hanging="360"/>
      </w:pPr>
      <w:r>
        <w:rPr>
          <w:rFonts w:ascii="Calibri" w:hAnsi="Calibri"/>
          <w:b/>
          <w:color w:val="525866"/>
          <w:sz w:val="22"/>
        </w:rPr>
        <w:t xml:space="preserve">Higher fuel prices a current headwind: </w:t>
      </w:r>
      <w:r>
        <w:rPr>
          <w:rFonts w:ascii="Calibri" w:hAnsi="Calibri"/>
          <w:color w:val="525866"/>
          <w:sz w:val="22"/>
        </w:rPr>
        <w:t xml:space="preserve">Niccol explicitly flagged higher fuel prices as a current cost headwind during the conference (June 9, 2026). </w:t>
      </w:r>
      <w:r>
        <w:rPr>
          <w:rFonts w:ascii="Calibri" w:hAnsi="Calibri"/>
          <w:b/>
          <w:color w:val="525866"/>
          <w:sz w:val="22"/>
        </w:rPr>
        <w:t xml:space="preserve">Read-through for YUM: </w:t>
      </w:r>
      <w:r>
        <w:rPr>
          <w:rFonts w:ascii="Calibri" w:hAnsi="Calibri"/>
          <w:color w:val="525866"/>
          <w:sz w:val="22"/>
        </w:rPr>
        <w:t>Minor negative for supply chain and delivery costs in Q2.</w:t>
      </w:r>
    </w:p>
    <w:p>
      <w:pPr>
        <w:pStyle w:val="Heading3"/>
      </w:pPr>
      <w:r>
        <w:rPr>
          <w:rFonts w:ascii="Calibri" w:hAnsi="Calibri"/>
          <w:b/>
          <w:color w:val="3B4259"/>
          <w:sz w:val="24"/>
        </w:rPr>
        <w:t>Peer Read-Through Summary</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Peer</w:t>
            </w:r>
          </w:p>
        </w:tc>
        <w:tc>
          <w:tcPr>
            <w:tcW w:type="dxa" w:w="1728"/>
            <w:shd w:val="clear" w:color="auto" w:fill="3B4259"/>
          </w:tcPr>
          <w:p>
            <w:r>
              <w:rPr>
                <w:rFonts w:ascii="Calibri" w:hAnsi="Calibri"/>
                <w:b/>
                <w:color w:val="FFFFFF"/>
                <w:sz w:val="22"/>
              </w:rPr>
              <w:t>Period</w:t>
            </w:r>
          </w:p>
        </w:tc>
        <w:tc>
          <w:tcPr>
            <w:tcW w:type="dxa" w:w="1728"/>
            <w:shd w:val="clear" w:color="auto" w:fill="3B4259"/>
          </w:tcPr>
          <w:p>
            <w:r>
              <w:rPr>
                <w:rFonts w:ascii="Calibri" w:hAnsi="Calibri"/>
                <w:b/>
                <w:color w:val="FFFFFF"/>
                <w:sz w:val="22"/>
              </w:rPr>
              <w:t>Key Signal</w:t>
            </w:r>
          </w:p>
        </w:tc>
        <w:tc>
          <w:tcPr>
            <w:tcW w:type="dxa" w:w="1728"/>
            <w:shd w:val="clear" w:color="auto" w:fill="3B4259"/>
          </w:tcPr>
          <w:p>
            <w:r>
              <w:rPr>
                <w:rFonts w:ascii="Calibri" w:hAnsi="Calibri"/>
                <w:b/>
                <w:color w:val="FFFFFF"/>
                <w:sz w:val="22"/>
              </w:rPr>
              <w:t>Read-Through Direction</w:t>
            </w:r>
          </w:p>
        </w:tc>
        <w:tc>
          <w:tcPr>
            <w:tcW w:type="dxa" w:w="1728"/>
            <w:shd w:val="clear" w:color="auto" w:fill="3B4259"/>
          </w:tcPr>
          <w:p>
            <w:r>
              <w:rPr>
                <w:rFonts w:ascii="Calibri" w:hAnsi="Calibri"/>
                <w:b/>
                <w:color w:val="FFFFFF"/>
                <w:sz w:val="22"/>
              </w:rPr>
              <w:t>Most Relevant For</w:t>
            </w:r>
          </w:p>
        </w:tc>
      </w:tr>
      <w:tr>
        <w:tc>
          <w:tcPr>
            <w:tcW w:type="dxa" w:w="1728"/>
          </w:tcPr>
          <w:p>
            <w:r>
              <w:rPr>
                <w:rFonts w:ascii="Calibri" w:hAnsi="Calibri"/>
                <w:sz w:val="22"/>
              </w:rPr>
              <w:t>CMG</w:t>
            </w:r>
          </w:p>
        </w:tc>
        <w:tc>
          <w:tcPr>
            <w:tcW w:type="dxa" w:w="1728"/>
          </w:tcPr>
          <w:p>
            <w:r>
              <w:rPr>
                <w:rFonts w:ascii="Calibri" w:hAnsi="Calibri"/>
                <w:sz w:val="22"/>
              </w:rPr>
              <w:t>Q2 2026</w:t>
            </w:r>
          </w:p>
        </w:tc>
        <w:tc>
          <w:tcPr>
            <w:tcW w:type="dxa" w:w="1728"/>
          </w:tcPr>
          <w:p>
            <w:r>
              <w:rPr>
                <w:rFonts w:ascii="Calibri" w:hAnsi="Calibri"/>
                <w:sz w:val="22"/>
              </w:rPr>
              <w:t>+2.2% SSS; lower-income cohort improved; cyclospora caused ~200 bps industry headwind in late July</w:t>
            </w:r>
          </w:p>
        </w:tc>
        <w:tc>
          <w:tcPr>
            <w:tcW w:type="dxa" w:w="1728"/>
          </w:tcPr>
          <w:p>
            <w:r>
              <w:rPr>
                <w:rFonts w:ascii="Calibri" w:hAnsi="Calibri"/>
                <w:b/>
                <w:color w:val="30A46C"/>
                <w:sz w:val="22"/>
              </w:rPr>
              <w:t>Positive (demand); Negative (cyclospora confirms real impact)</w:t>
            </w:r>
          </w:p>
        </w:tc>
        <w:tc>
          <w:tcPr>
            <w:tcW w:type="dxa" w:w="1728"/>
          </w:tcPr>
          <w:p>
            <w:r>
              <w:rPr>
                <w:rFonts w:ascii="Calibri" w:hAnsi="Calibri"/>
                <w:sz w:val="22"/>
              </w:rPr>
              <w:t>Taco Bell SSS; cyclospora traffic impact</w:t>
            </w:r>
          </w:p>
        </w:tc>
      </w:tr>
      <w:tr>
        <w:tc>
          <w:tcPr>
            <w:tcW w:type="dxa" w:w="1728"/>
          </w:tcPr>
          <w:p>
            <w:r>
              <w:rPr>
                <w:rFonts w:ascii="Calibri" w:hAnsi="Calibri"/>
                <w:sz w:val="22"/>
              </w:rPr>
              <w:t>SBUX</w:t>
            </w:r>
          </w:p>
        </w:tc>
        <w:tc>
          <w:tcPr>
            <w:tcW w:type="dxa" w:w="1728"/>
          </w:tcPr>
          <w:p>
            <w:r>
              <w:rPr>
                <w:rFonts w:ascii="Calibri" w:hAnsi="Calibri"/>
                <w:sz w:val="22"/>
              </w:rPr>
              <w:t>Q3 FY2026 (Apr–Jun)</w:t>
            </w:r>
          </w:p>
        </w:tc>
        <w:tc>
          <w:tcPr>
            <w:tcW w:type="dxa" w:w="1728"/>
          </w:tcPr>
          <w:p>
            <w:r>
              <w:rPr>
                <w:rFonts w:ascii="Calibri" w:hAnsi="Calibri"/>
                <w:sz w:val="22"/>
              </w:rPr>
              <w:t>+7.9% global comps; broad-based transaction growth; lower inflation; international strength</w:t>
            </w:r>
          </w:p>
        </w:tc>
        <w:tc>
          <w:tcPr>
            <w:tcW w:type="dxa" w:w="1728"/>
          </w:tcPr>
          <w:p>
            <w:r>
              <w:rPr>
                <w:rFonts w:ascii="Calibri" w:hAnsi="Calibri"/>
                <w:b/>
                <w:color w:val="30A46C"/>
                <w:sz w:val="22"/>
              </w:rPr>
              <w:t>Positive</w:t>
            </w:r>
          </w:p>
        </w:tc>
        <w:tc>
          <w:tcPr>
            <w:tcW w:type="dxa" w:w="1728"/>
          </w:tcPr>
          <w:p>
            <w:r>
              <w:rPr>
                <w:rFonts w:ascii="Calibri" w:hAnsi="Calibri"/>
                <w:sz w:val="22"/>
              </w:rPr>
              <w:t>Consumer health; commodity costs; KFC international</w:t>
            </w:r>
          </w:p>
        </w:tc>
      </w:tr>
      <w:tr>
        <w:tc>
          <w:tcPr>
            <w:tcW w:type="dxa" w:w="1728"/>
          </w:tcPr>
          <w:p>
            <w:r>
              <w:rPr>
                <w:rFonts w:ascii="Calibri" w:hAnsi="Calibri"/>
                <w:sz w:val="22"/>
              </w:rPr>
              <w:t>DPZ</w:t>
            </w:r>
          </w:p>
        </w:tc>
        <w:tc>
          <w:tcPr>
            <w:tcW w:type="dxa" w:w="1728"/>
          </w:tcPr>
          <w:p>
            <w:r>
              <w:rPr>
                <w:rFonts w:ascii="Calibri" w:hAnsi="Calibri"/>
                <w:sz w:val="22"/>
              </w:rPr>
              <w:t>Q2 2026</w:t>
            </w:r>
          </w:p>
        </w:tc>
        <w:tc>
          <w:tcPr>
            <w:tcW w:type="dxa" w:w="1728"/>
          </w:tcPr>
          <w:p>
            <w:r>
              <w:rPr>
                <w:rFonts w:ascii="Calibri" w:hAnsi="Calibri"/>
                <w:sz w:val="22"/>
              </w:rPr>
              <w:t>QSR order counts flat; macro/competitive pressure; international comps -0.1%</w:t>
            </w:r>
          </w:p>
        </w:tc>
        <w:tc>
          <w:tcPr>
            <w:tcW w:type="dxa" w:w="1728"/>
          </w:tcPr>
          <w:p>
            <w:r>
              <w:rPr>
                <w:rFonts w:ascii="Calibri" w:hAnsi="Calibri"/>
                <w:b/>
                <w:color w:val="E5484D"/>
                <w:sz w:val="22"/>
              </w:rPr>
              <w:t>Mixed / Negative</w:t>
            </w:r>
          </w:p>
        </w:tc>
        <w:tc>
          <w:tcPr>
            <w:tcW w:type="dxa" w:w="1728"/>
          </w:tcPr>
          <w:p>
            <w:r>
              <w:rPr>
                <w:rFonts w:ascii="Calibri" w:hAnsi="Calibri"/>
                <w:sz w:val="22"/>
              </w:rPr>
              <w:t>QSR traffic environment; KFC international; franchisee health</w:t>
            </w:r>
          </w:p>
        </w:tc>
      </w:tr>
      <w:tr>
        <w:tc>
          <w:tcPr>
            <w:tcW w:type="dxa" w:w="1728"/>
          </w:tcPr>
          <w:p>
            <w:r>
              <w:rPr>
                <w:rFonts w:ascii="Calibri" w:hAnsi="Calibri"/>
                <w:sz w:val="22"/>
              </w:rPr>
              <w:t>WING</w:t>
            </w:r>
          </w:p>
        </w:tc>
        <w:tc>
          <w:tcPr>
            <w:tcW w:type="dxa" w:w="1728"/>
          </w:tcPr>
          <w:p>
            <w:r>
              <w:rPr>
                <w:rFonts w:ascii="Calibri" w:hAnsi="Calibri"/>
                <w:sz w:val="22"/>
              </w:rPr>
              <w:t>Q2 2026</w:t>
            </w:r>
          </w:p>
        </w:tc>
        <w:tc>
          <w:tcPr>
            <w:tcW w:type="dxa" w:w="1728"/>
          </w:tcPr>
          <w:p>
            <w:r>
              <w:rPr>
                <w:rFonts w:ascii="Calibri" w:hAnsi="Calibri"/>
                <w:sz w:val="22"/>
              </w:rPr>
              <w:t>-7.5% SSS; lower-income urban consumer under severe pressure; value messaging intensifying</w:t>
            </w:r>
          </w:p>
        </w:tc>
        <w:tc>
          <w:tcPr>
            <w:tcW w:type="dxa" w:w="1728"/>
          </w:tcPr>
          <w:p>
            <w:r>
              <w:rPr>
                <w:rFonts w:ascii="Calibri" w:hAnsi="Calibri"/>
                <w:b/>
                <w:color w:val="E5484D"/>
                <w:sz w:val="22"/>
              </w:rPr>
              <w:t>Negative</w:t>
            </w:r>
          </w:p>
        </w:tc>
        <w:tc>
          <w:tcPr>
            <w:tcW w:type="dxa" w:w="1728"/>
          </w:tcPr>
          <w:p>
            <w:r>
              <w:rPr>
                <w:rFonts w:ascii="Calibri" w:hAnsi="Calibri"/>
                <w:sz w:val="22"/>
              </w:rPr>
              <w:t>Taco Bell core consumer; value environment</w:t>
            </w:r>
          </w:p>
        </w:tc>
      </w:tr>
      <w:tr>
        <w:tc>
          <w:tcPr>
            <w:tcW w:type="dxa" w:w="1728"/>
          </w:tcPr>
          <w:p>
            <w:r>
              <w:rPr>
                <w:rFonts w:ascii="Calibri" w:hAnsi="Calibri"/>
                <w:sz w:val="22"/>
              </w:rPr>
              <w:t>SBUX (Evercore Conf.)</w:t>
            </w:r>
          </w:p>
        </w:tc>
        <w:tc>
          <w:tcPr>
            <w:tcW w:type="dxa" w:w="1728"/>
          </w:tcPr>
          <w:p>
            <w:r>
              <w:rPr>
                <w:rFonts w:ascii="Calibri" w:hAnsi="Calibri"/>
                <w:sz w:val="22"/>
              </w:rPr>
              <w:t>June 9, 2026 (mid-Q2)</w:t>
            </w:r>
          </w:p>
        </w:tc>
        <w:tc>
          <w:tcPr>
            <w:tcW w:type="dxa" w:w="1728"/>
          </w:tcPr>
          <w:p>
            <w:r>
              <w:rPr>
                <w:rFonts w:ascii="Calibri" w:hAnsi="Calibri"/>
                <w:sz w:val="22"/>
              </w:rPr>
              <w:t>Transactions below 2023 levels; beverages as traffic driver; higher fuel prices</w:t>
            </w:r>
          </w:p>
        </w:tc>
        <w:tc>
          <w:tcPr>
            <w:tcW w:type="dxa" w:w="1728"/>
          </w:tcPr>
          <w:p>
            <w:r>
              <w:rPr>
                <w:rFonts w:ascii="Calibri" w:hAnsi="Calibri"/>
                <w:b/>
                <w:color w:val="30A46C"/>
                <w:sz w:val="22"/>
              </w:rPr>
              <w:t>Positive (category headroom); Minor Negative (fuel costs)</w:t>
            </w:r>
          </w:p>
        </w:tc>
        <w:tc>
          <w:tcPr>
            <w:tcW w:type="dxa" w:w="1728"/>
          </w:tcPr>
          <w:p>
            <w:r>
              <w:rPr>
                <w:rFonts w:ascii="Calibri" w:hAnsi="Calibri"/>
                <w:sz w:val="22"/>
              </w:rPr>
              <w:t>Taco Bell beverage strategy; supply chain costs</w:t>
            </w:r>
          </w:p>
        </w:tc>
      </w:tr>
    </w:tbl>
    <w:p>
      <w:r>
        <w:br w:type="page"/>
      </w:r>
    </w:p>
    <w:p>
      <w:pPr>
        <w:pStyle w:val="Heading2"/>
      </w:pPr>
      <w:r>
        <w:rPr>
          <w:rFonts w:ascii="Calibri" w:hAnsi="Calibri"/>
          <w:b/>
          <w:color w:val="3B4259"/>
          <w:sz w:val="28"/>
        </w:rPr>
        <w:t>7. Material News &amp; Developments</w:t>
      </w:r>
    </w:p>
    <w:p>
      <w:r>
        <w:rPr>
          <w:rFonts w:ascii="Calibri" w:hAnsi="Calibri"/>
          <w:b/>
          <w:color w:val="525866"/>
          <w:sz w:val="22"/>
        </w:rPr>
        <w:t xml:space="preserve">Key Takeaway: </w:t>
      </w:r>
      <w:r>
        <w:rPr>
          <w:rFonts w:ascii="Calibri" w:hAnsi="Calibri"/>
          <w:color w:val="525866"/>
          <w:sz w:val="22"/>
        </w:rPr>
        <w:t>The Pizza Hut divestiture is the most strategically significant development since Q1 earnings, but the Taco Bell cyclospora outbreak is the most important near-term earnings risk — it directly impacts Q2 SSS (late June), Q3 traffic, and consumer trust in YUM's highest-value brand.</w:t>
      </w:r>
    </w:p>
    <w:p>
      <w:pPr>
        <w:pStyle w:val="ListBullet"/>
        <w:ind w:left="360" w:hanging="360"/>
      </w:pPr>
      <w:r>
        <w:rPr>
          <w:rFonts w:ascii="Calibri" w:hAnsi="Calibri"/>
          <w:b/>
          <w:color w:val="525866"/>
          <w:sz w:val="22"/>
        </w:rPr>
        <w:t xml:space="preserve">July 14–22, 2026 — Taco Bell Cyclospora Outbreak (CRITICAL): </w:t>
      </w:r>
      <w:r>
        <w:rPr>
          <w:rFonts w:ascii="Calibri" w:hAnsi="Calibri"/>
          <w:color w:val="525866"/>
          <w:sz w:val="22"/>
        </w:rPr>
        <w:t xml:space="preserve">Federal and state health officials investigated Taco Bell and shredded iceberg lettuce as a source of a multistate cyclosporiasis outbreak. On July 17, the CDC/FDA linked Taylor Farms' shredded iceberg lettuce (supplied to Taco Bell) to the outbreak, which had caused 1,644 illnesses and 94 hospitalizations across five states. Taco Bell removed the suspected lettuce from its supply chain. YUM shares fell ~10% from early-July highs. Traffic at Taco Bell was reportedly down ~30% at the peak of the news cycle. Taco Bell responded with dollar-priced value items to drive recovery. </w:t>
      </w:r>
      <w:r>
        <w:rPr>
          <w:rFonts w:ascii="Calibri" w:hAnsi="Calibri"/>
          <w:b/>
          <w:color w:val="525866"/>
          <w:sz w:val="22"/>
        </w:rPr>
        <w:t xml:space="preserve">Implication: </w:t>
      </w:r>
      <w:r>
        <w:rPr>
          <w:rFonts w:ascii="Calibri" w:hAnsi="Calibri"/>
          <w:color w:val="525866"/>
          <w:sz w:val="22"/>
        </w:rPr>
        <w:t>This is the single biggest risk to Q2 SSS (late-quarter impact) and Q3 guidance. The call will be dominated by management's assessment of traffic recovery trajectory.</w:t>
      </w:r>
    </w:p>
    <w:p>
      <w:pPr>
        <w:pStyle w:val="ListBullet"/>
        <w:ind w:left="360" w:hanging="360"/>
      </w:pPr>
      <w:r>
        <w:rPr>
          <w:rFonts w:ascii="Calibri" w:hAnsi="Calibri"/>
          <w:b/>
          <w:color w:val="525866"/>
          <w:sz w:val="22"/>
        </w:rPr>
        <w:t xml:space="preserve">June 16, 2026 — Pizza Hut Divestiture Announced (STRATEGIC): </w:t>
      </w:r>
      <w:r>
        <w:rPr>
          <w:rFonts w:ascii="Calibri" w:hAnsi="Calibri"/>
          <w:color w:val="525866"/>
          <w:sz w:val="22"/>
        </w:rPr>
        <w:t xml:space="preserve">YUM announced definitive agreements to sell its global Pizza Hut business: LongRange Capital to acquire ex-China operations for $1.488B (plus up to $75M earn-out), and Yum China to acquire China operations for $1.2B. Total proceeds: ~$2.69B. Board simultaneously authorized a new $4.0B share repurchase program (through June 30, 2028), in addition to ~$400M remaining under the existing program. Transactions expected to close Q3 2026. </w:t>
      </w:r>
      <w:r>
        <w:rPr>
          <w:rFonts w:ascii="Calibri" w:hAnsi="Calibri"/>
          <w:b/>
          <w:color w:val="525866"/>
          <w:sz w:val="22"/>
        </w:rPr>
        <w:t xml:space="preserve">Implication: </w:t>
      </w:r>
      <w:r>
        <w:rPr>
          <w:rFonts w:ascii="Calibri" w:hAnsi="Calibri"/>
          <w:color w:val="525866"/>
          <w:sz w:val="22"/>
        </w:rPr>
        <w:t>Strategically transformative — YUM becomes a pure-play KFC/Taco Bell franchisor. Capital return story significantly enhanced. Investors will want clarity on timing of close and use of proceeds.</w:t>
      </w:r>
    </w:p>
    <w:p>
      <w:pPr>
        <w:pStyle w:val="ListBullet"/>
        <w:ind w:left="360" w:hanging="360"/>
      </w:pPr>
      <w:r>
        <w:rPr>
          <w:rFonts w:ascii="Calibri" w:hAnsi="Calibri"/>
          <w:b/>
          <w:color w:val="525866"/>
          <w:sz w:val="22"/>
        </w:rPr>
        <w:t xml:space="preserve">June 16, 2026 — European Investor Conference: </w:t>
      </w:r>
      <w:r>
        <w:rPr>
          <w:rFonts w:ascii="Calibri" w:hAnsi="Calibri"/>
          <w:color w:val="525866"/>
          <w:sz w:val="22"/>
        </w:rPr>
        <w:t xml:space="preserve">KFC Division CEO Tarun Lal presented at the European Investor Conference on the same day as the Pizza Hut announcement. Key highlights: KFC U.S. has posted three consecutive quarters of positive SSS after ~two years of negative comps; KFC UK delivered 7% SSS in Q1; loyalty programs to be in all top 20 KFC markets by year-end; Byte platform rollout ongoing (Australia for digital/e-commerce, UK for Smart Ops). </w:t>
      </w:r>
      <w:r>
        <w:rPr>
          <w:rFonts w:ascii="Calibri" w:hAnsi="Calibri"/>
          <w:b/>
          <w:color w:val="525866"/>
          <w:sz w:val="22"/>
        </w:rPr>
        <w:t xml:space="preserve">Implication: </w:t>
      </w:r>
      <w:r>
        <w:rPr>
          <w:rFonts w:ascii="Calibri" w:hAnsi="Calibri"/>
          <w:color w:val="525866"/>
          <w:sz w:val="22"/>
        </w:rPr>
        <w:t>Reinforces KFC's improving trajectory and management's confidence in the brand's strategic direction.</w:t>
      </w:r>
    </w:p>
    <w:p>
      <w:pPr>
        <w:pStyle w:val="ListBullet"/>
        <w:ind w:left="360" w:hanging="360"/>
      </w:pPr>
      <w:r>
        <w:rPr>
          <w:rFonts w:ascii="Calibri" w:hAnsi="Calibri"/>
          <w:b/>
          <w:color w:val="525866"/>
          <w:sz w:val="22"/>
        </w:rPr>
        <w:t xml:space="preserve">July 22–23, 2026 — Broader Cyclospora Outbreak Expands: </w:t>
      </w:r>
      <w:r>
        <w:rPr>
          <w:rFonts w:ascii="Calibri" w:hAnsi="Calibri"/>
          <w:color w:val="525866"/>
          <w:sz w:val="22"/>
        </w:rPr>
        <w:t xml:space="preserve">The FDA launched investigations into a new cyclospora cluster (72 illnesses) separate from the Taco Bell-linked outbreak. Restaurant stocks broadly sold off: Sweetgreen -7.2%, Chipotle -3.4%, Cava -2.1%, YUM -~10%. The broader outbreak raised uncertainty around raw produce across the restaurant industry. </w:t>
      </w:r>
      <w:r>
        <w:rPr>
          <w:rFonts w:ascii="Calibri" w:hAnsi="Calibri"/>
          <w:b/>
          <w:color w:val="525866"/>
          <w:sz w:val="22"/>
        </w:rPr>
        <w:t xml:space="preserve">Implication: </w:t>
      </w:r>
      <w:r>
        <w:rPr>
          <w:rFonts w:ascii="Calibri" w:hAnsi="Calibri"/>
          <w:color w:val="525866"/>
          <w:sz w:val="22"/>
        </w:rPr>
        <w:t>Even if Taco Bell's specific outbreak is resolved, broader produce safety concerns could weigh on consumer confidence in fresh-ingredient QSR.</w:t>
      </w:r>
    </w:p>
    <w:p>
      <w:pPr>
        <w:pStyle w:val="ListBullet"/>
        <w:ind w:left="360" w:hanging="360"/>
      </w:pPr>
      <w:r>
        <w:rPr>
          <w:rFonts w:ascii="Calibri" w:hAnsi="Calibri"/>
          <w:b/>
          <w:color w:val="525866"/>
          <w:sz w:val="22"/>
        </w:rPr>
        <w:t xml:space="preserve">July 24, 2026 — Street Preview Published: </w:t>
      </w:r>
      <w:r>
        <w:rPr>
          <w:rFonts w:ascii="Calibri" w:hAnsi="Calibri"/>
          <w:color w:val="525866"/>
          <w:sz w:val="22"/>
        </w:rPr>
        <w:t xml:space="preserve">A news digest noted the Street expects aggregate comparable sales growth of +2.85%, with Taco Bell comps at +6.4% and KFC at +2.1%, and EPS of $1.57 for Q2. Sentiment described as "fairly sanguine on the medium and long-term outlook" following the Pizza Hut divestiture, with near-term concern focused on the cyclospora outbreak. </w:t>
      </w:r>
      <w:r>
        <w:rPr>
          <w:rFonts w:ascii="Calibri" w:hAnsi="Calibri"/>
          <w:b/>
          <w:color w:val="525866"/>
          <w:sz w:val="22"/>
        </w:rPr>
        <w:t xml:space="preserve">Implication: </w:t>
      </w:r>
      <w:r>
        <w:rPr>
          <w:rFonts w:ascii="Calibri" w:hAnsi="Calibri"/>
          <w:color w:val="525866"/>
          <w:sz w:val="22"/>
        </w:rPr>
        <w:t>Confirms the market's focus on the cyclospora impact as the primary near-term risk.</w:t>
      </w:r>
    </w:p>
    <w:p>
      <w:pPr>
        <w:pStyle w:val="ListBullet"/>
        <w:ind w:left="360" w:hanging="360"/>
      </w:pPr>
      <w:r>
        <w:rPr>
          <w:rFonts w:ascii="Calibri" w:hAnsi="Calibri"/>
          <w:b/>
          <w:color w:val="525866"/>
          <w:sz w:val="22"/>
        </w:rPr>
        <w:t xml:space="preserve">July 23, 2026 — Taco Bell Value Response: </w:t>
      </w:r>
      <w:r>
        <w:rPr>
          <w:rFonts w:ascii="Calibri" w:hAnsi="Calibri"/>
          <w:color w:val="525866"/>
          <w:sz w:val="22"/>
        </w:rPr>
        <w:t xml:space="preserve">Taco Bell launched dollar-priced items (including a lettuce-free stuffed tortilla with cheese, Fritos, and nacho fries) to drive traffic recovery and rebuild consumer trust following the cyclospora outbreak. </w:t>
      </w:r>
      <w:r>
        <w:rPr>
          <w:rFonts w:ascii="Calibri" w:hAnsi="Calibri"/>
          <w:b/>
          <w:color w:val="525866"/>
          <w:sz w:val="22"/>
        </w:rPr>
        <w:t xml:space="preserve">Implication: </w:t>
      </w:r>
      <w:r>
        <w:rPr>
          <w:rFonts w:ascii="Calibri" w:hAnsi="Calibri"/>
          <w:color w:val="525866"/>
          <w:sz w:val="22"/>
        </w:rPr>
        <w:t>Management is actively responding, but the speed of consumer trust recovery is uncertain.</w:t>
      </w:r>
    </w:p>
    <w:p>
      <w:pPr>
        <w:pStyle w:val="Heading2"/>
      </w:pPr>
      <w:r>
        <w:rPr>
          <w:rFonts w:ascii="Calibri" w:hAnsi="Calibri"/>
          <w:b/>
          <w:color w:val="3B4259"/>
          <w:sz w:val="28"/>
        </w:rPr>
        <w:t>8. Insider Transaction Activity</w:t>
      </w:r>
    </w:p>
    <w:p>
      <w:r>
        <w:rPr>
          <w:rFonts w:ascii="Calibri" w:hAnsi="Calibri"/>
          <w:b/>
          <w:color w:val="525866"/>
          <w:sz w:val="22"/>
        </w:rPr>
        <w:t xml:space="preserve">Key Takeaway: </w:t>
      </w:r>
      <w:r>
        <w:rPr>
          <w:rFonts w:ascii="Calibri" w:hAnsi="Calibri"/>
          <w:color w:val="525866"/>
          <w:sz w:val="22"/>
        </w:rPr>
        <w:t>All insider transactions since Q1 earnings are sales, but the vast majority are under 10b5-1 pre-planned programs — routine and not discretionary. The one notable exception is Sean Tresvant (Taco Bell CEO / YUM CCO), who sold 3,000 shares on May 26 without a 10b5-1 plan, though the size is modest. No open-market buys have been filed, which is unremarkable given the stock's recent performance.</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Name</w:t>
            </w:r>
          </w:p>
        </w:tc>
        <w:tc>
          <w:tcPr>
            <w:tcW w:type="dxa" w:w="1440"/>
            <w:shd w:val="clear" w:color="auto" w:fill="3B4259"/>
          </w:tcPr>
          <w:p>
            <w:r>
              <w:rPr>
                <w:rFonts w:ascii="Calibri" w:hAnsi="Calibri"/>
                <w:b/>
                <w:color w:val="FFFFFF"/>
                <w:sz w:val="22"/>
              </w:rPr>
              <w:t>Title</w:t>
            </w:r>
          </w:p>
        </w:tc>
        <w:tc>
          <w:tcPr>
            <w:tcW w:type="dxa" w:w="1440"/>
            <w:shd w:val="clear" w:color="auto" w:fill="3B4259"/>
          </w:tcPr>
          <w:p>
            <w:r>
              <w:rPr>
                <w:rFonts w:ascii="Calibri" w:hAnsi="Calibri"/>
                <w:b/>
                <w:color w:val="FFFFFF"/>
                <w:sz w:val="22"/>
              </w:rPr>
              <w:t>Transaction Type</w:t>
            </w:r>
          </w:p>
        </w:tc>
        <w:tc>
          <w:tcPr>
            <w:tcW w:type="dxa" w:w="1440"/>
            <w:shd w:val="clear" w:color="auto" w:fill="3B4259"/>
          </w:tcPr>
          <w:p>
            <w:r>
              <w:rPr>
                <w:rFonts w:ascii="Calibri" w:hAnsi="Calibri"/>
                <w:b/>
                <w:color w:val="FFFFFF"/>
                <w:sz w:val="22"/>
              </w:rPr>
              <w:t>Shares</w:t>
            </w:r>
          </w:p>
        </w:tc>
        <w:tc>
          <w:tcPr>
            <w:tcW w:type="dxa" w:w="1440"/>
            <w:shd w:val="clear" w:color="auto" w:fill="3B4259"/>
          </w:tcPr>
          <w:p>
            <w:r>
              <w:rPr>
                <w:rFonts w:ascii="Calibri" w:hAnsi="Calibri"/>
                <w:b/>
                <w:color w:val="FFFFFF"/>
                <w:sz w:val="22"/>
              </w:rPr>
              <w:t>Date</w:t>
            </w:r>
          </w:p>
        </w:tc>
        <w:tc>
          <w:tcPr>
            <w:tcW w:type="dxa" w:w="1440"/>
            <w:shd w:val="clear" w:color="auto" w:fill="3B4259"/>
          </w:tcPr>
          <w:p>
            <w:r>
              <w:rPr>
                <w:rFonts w:ascii="Calibri" w:hAnsi="Calibri"/>
                <w:b/>
                <w:color w:val="FFFFFF"/>
                <w:sz w:val="22"/>
              </w:rPr>
              <w:t>Note</w:t>
            </w:r>
          </w:p>
        </w:tc>
      </w:tr>
      <w:tr>
        <w:tc>
          <w:tcPr>
            <w:tcW w:type="dxa" w:w="1440"/>
          </w:tcPr>
          <w:p>
            <w:r>
              <w:rPr>
                <w:rFonts w:ascii="Calibri" w:hAnsi="Calibri"/>
                <w:sz w:val="22"/>
              </w:rPr>
              <w:t>Scott Mezvinsky</w:t>
            </w:r>
          </w:p>
        </w:tc>
        <w:tc>
          <w:tcPr>
            <w:tcW w:type="dxa" w:w="1440"/>
          </w:tcPr>
          <w:p>
            <w:r>
              <w:rPr>
                <w:rFonts w:ascii="Calibri" w:hAnsi="Calibri"/>
                <w:sz w:val="22"/>
              </w:rPr>
              <w:t>KFC Division CEO</w:t>
            </w:r>
          </w:p>
        </w:tc>
        <w:tc>
          <w:tcPr>
            <w:tcW w:type="dxa" w:w="1440"/>
          </w:tcPr>
          <w:p>
            <w:r>
              <w:rPr>
                <w:rFonts w:ascii="Calibri" w:hAnsi="Calibri"/>
                <w:sz w:val="22"/>
              </w:rPr>
              <w:t>10b5-1 Planned Sale</w:t>
            </w:r>
          </w:p>
        </w:tc>
        <w:tc>
          <w:tcPr>
            <w:tcW w:type="dxa" w:w="1440"/>
          </w:tcPr>
          <w:p>
            <w:r>
              <w:rPr>
                <w:rFonts w:ascii="Calibri" w:hAnsi="Calibri"/>
                <w:sz w:val="22"/>
              </w:rPr>
              <w:t>277</w:t>
            </w:r>
          </w:p>
        </w:tc>
        <w:tc>
          <w:tcPr>
            <w:tcW w:type="dxa" w:w="1440"/>
          </w:tcPr>
          <w:p>
            <w:r>
              <w:rPr>
                <w:rFonts w:ascii="Calibri" w:hAnsi="Calibri"/>
                <w:sz w:val="22"/>
              </w:rPr>
              <w:t>Jul 1, 2026</w:t>
            </w:r>
          </w:p>
        </w:tc>
        <w:tc>
          <w:tcPr>
            <w:tcW w:type="dxa" w:w="1440"/>
          </w:tcPr>
          <w:p>
            <w:r>
              <w:rPr>
                <w:rFonts w:ascii="Calibri" w:hAnsi="Calibri"/>
                <w:sz w:val="22"/>
              </w:rPr>
              <w:t>Pre-planned; routine; small size</w:t>
            </w:r>
          </w:p>
        </w:tc>
      </w:tr>
      <w:tr>
        <w:tc>
          <w:tcPr>
            <w:tcW w:type="dxa" w:w="1440"/>
          </w:tcPr>
          <w:p>
            <w:r>
              <w:rPr>
                <w:rFonts w:ascii="Calibri" w:hAnsi="Calibri"/>
                <w:sz w:val="22"/>
              </w:rPr>
              <w:t>Aaron Powell</w:t>
            </w:r>
          </w:p>
        </w:tc>
        <w:tc>
          <w:tcPr>
            <w:tcW w:type="dxa" w:w="1440"/>
          </w:tcPr>
          <w:p>
            <w:r>
              <w:rPr>
                <w:rFonts w:ascii="Calibri" w:hAnsi="Calibri"/>
                <w:sz w:val="22"/>
              </w:rPr>
              <w:t>CEO — Pizza Hut</w:t>
            </w:r>
          </w:p>
        </w:tc>
        <w:tc>
          <w:tcPr>
            <w:tcW w:type="dxa" w:w="1440"/>
          </w:tcPr>
          <w:p>
            <w:r>
              <w:rPr>
                <w:rFonts w:ascii="Calibri" w:hAnsi="Calibri"/>
                <w:sz w:val="22"/>
              </w:rPr>
              <w:t>10b5-1 Planned Sale</w:t>
            </w:r>
          </w:p>
        </w:tc>
        <w:tc>
          <w:tcPr>
            <w:tcW w:type="dxa" w:w="1440"/>
          </w:tcPr>
          <w:p>
            <w:r>
              <w:rPr>
                <w:rFonts w:ascii="Calibri" w:hAnsi="Calibri"/>
                <w:sz w:val="22"/>
              </w:rPr>
              <w:t>6,001</w:t>
            </w:r>
          </w:p>
        </w:tc>
        <w:tc>
          <w:tcPr>
            <w:tcW w:type="dxa" w:w="1440"/>
          </w:tcPr>
          <w:p>
            <w:r>
              <w:rPr>
                <w:rFonts w:ascii="Calibri" w:hAnsi="Calibri"/>
                <w:sz w:val="22"/>
              </w:rPr>
              <w:t>Jul 1, 2026</w:t>
            </w:r>
          </w:p>
        </w:tc>
        <w:tc>
          <w:tcPr>
            <w:tcW w:type="dxa" w:w="1440"/>
          </w:tcPr>
          <w:p>
            <w:r>
              <w:rPr>
                <w:rFonts w:ascii="Calibri" w:hAnsi="Calibri"/>
                <w:sz w:val="22"/>
              </w:rPr>
              <w:t>Pre-planned; second tranche (also sold 6,001 shares May 19); consistent with planned liquidation ahead of Pizza Hut divestiture</w:t>
            </w:r>
          </w:p>
        </w:tc>
      </w:tr>
      <w:tr>
        <w:tc>
          <w:tcPr>
            <w:tcW w:type="dxa" w:w="1440"/>
          </w:tcPr>
          <w:p>
            <w:r>
              <w:rPr>
                <w:rFonts w:ascii="Calibri" w:hAnsi="Calibri"/>
                <w:sz w:val="22"/>
              </w:rPr>
              <w:t>Christopher Lee Turner</w:t>
            </w:r>
          </w:p>
        </w:tc>
        <w:tc>
          <w:tcPr>
            <w:tcW w:type="dxa" w:w="1440"/>
          </w:tcPr>
          <w:p>
            <w:r>
              <w:rPr>
                <w:rFonts w:ascii="Calibri" w:hAnsi="Calibri"/>
                <w:sz w:val="22"/>
              </w:rPr>
              <w:t>Chief Executive Officer, Director</w:t>
            </w:r>
          </w:p>
        </w:tc>
        <w:tc>
          <w:tcPr>
            <w:tcW w:type="dxa" w:w="1440"/>
          </w:tcPr>
          <w:p>
            <w:r>
              <w:rPr>
                <w:rFonts w:ascii="Calibri" w:hAnsi="Calibri"/>
                <w:sz w:val="22"/>
              </w:rPr>
              <w:t>10b5-1 Planned Sale</w:t>
            </w:r>
          </w:p>
        </w:tc>
        <w:tc>
          <w:tcPr>
            <w:tcW w:type="dxa" w:w="1440"/>
          </w:tcPr>
          <w:p>
            <w:r>
              <w:rPr>
                <w:rFonts w:ascii="Calibri" w:hAnsi="Calibri"/>
                <w:sz w:val="22"/>
              </w:rPr>
              <w:t>250</w:t>
            </w:r>
          </w:p>
        </w:tc>
        <w:tc>
          <w:tcPr>
            <w:tcW w:type="dxa" w:w="1440"/>
          </w:tcPr>
          <w:p>
            <w:r>
              <w:rPr>
                <w:rFonts w:ascii="Calibri" w:hAnsi="Calibri"/>
                <w:sz w:val="22"/>
              </w:rPr>
              <w:t>Jul 1, 2026</w:t>
            </w:r>
          </w:p>
        </w:tc>
        <w:tc>
          <w:tcPr>
            <w:tcW w:type="dxa" w:w="1440"/>
          </w:tcPr>
          <w:p>
            <w:r>
              <w:rPr>
                <w:rFonts w:ascii="Calibri" w:hAnsi="Calibri"/>
                <w:sz w:val="22"/>
              </w:rPr>
              <w:t>Pre-planned; small size; also sold 270 shares Jun 1 under same plan</w:t>
            </w:r>
          </w:p>
        </w:tc>
      </w:tr>
      <w:tr>
        <w:tc>
          <w:tcPr>
            <w:tcW w:type="dxa" w:w="1440"/>
          </w:tcPr>
          <w:p>
            <w:r>
              <w:rPr>
                <w:rFonts w:ascii="Calibri" w:hAnsi="Calibri"/>
                <w:sz w:val="22"/>
              </w:rPr>
              <w:t>Christopher Lee Turner</w:t>
            </w:r>
          </w:p>
        </w:tc>
        <w:tc>
          <w:tcPr>
            <w:tcW w:type="dxa" w:w="1440"/>
          </w:tcPr>
          <w:p>
            <w:r>
              <w:rPr>
                <w:rFonts w:ascii="Calibri" w:hAnsi="Calibri"/>
                <w:sz w:val="22"/>
              </w:rPr>
              <w:t>Chief Executive Officer, Director</w:t>
            </w:r>
          </w:p>
        </w:tc>
        <w:tc>
          <w:tcPr>
            <w:tcW w:type="dxa" w:w="1440"/>
          </w:tcPr>
          <w:p>
            <w:r>
              <w:rPr>
                <w:rFonts w:ascii="Calibri" w:hAnsi="Calibri"/>
                <w:sz w:val="22"/>
              </w:rPr>
              <w:t>10b5-1 Planned Sale</w:t>
            </w:r>
          </w:p>
        </w:tc>
        <w:tc>
          <w:tcPr>
            <w:tcW w:type="dxa" w:w="1440"/>
          </w:tcPr>
          <w:p>
            <w:r>
              <w:rPr>
                <w:rFonts w:ascii="Calibri" w:hAnsi="Calibri"/>
                <w:sz w:val="22"/>
              </w:rPr>
              <w:t>270</w:t>
            </w:r>
          </w:p>
        </w:tc>
        <w:tc>
          <w:tcPr>
            <w:tcW w:type="dxa" w:w="1440"/>
          </w:tcPr>
          <w:p>
            <w:r>
              <w:rPr>
                <w:rFonts w:ascii="Calibri" w:hAnsi="Calibri"/>
                <w:sz w:val="22"/>
              </w:rPr>
              <w:t>Jun 1, 2026</w:t>
            </w:r>
          </w:p>
        </w:tc>
        <w:tc>
          <w:tcPr>
            <w:tcW w:type="dxa" w:w="1440"/>
          </w:tcPr>
          <w:p>
            <w:r>
              <w:rPr>
                <w:rFonts w:ascii="Calibri" w:hAnsi="Calibri"/>
                <w:sz w:val="22"/>
              </w:rPr>
              <w:t>Pre-planned; routine monthly sale under established plan</w:t>
            </w:r>
          </w:p>
        </w:tc>
      </w:tr>
      <w:tr>
        <w:tc>
          <w:tcPr>
            <w:tcW w:type="dxa" w:w="1440"/>
          </w:tcPr>
          <w:p>
            <w:r>
              <w:rPr>
                <w:rFonts w:ascii="Calibri" w:hAnsi="Calibri"/>
                <w:sz w:val="22"/>
              </w:rPr>
              <w:t>Sean Tresvant</w:t>
            </w:r>
          </w:p>
        </w:tc>
        <w:tc>
          <w:tcPr>
            <w:tcW w:type="dxa" w:w="1440"/>
          </w:tcPr>
          <w:p>
            <w:r>
              <w:rPr>
                <w:rFonts w:ascii="Calibri" w:hAnsi="Calibri"/>
                <w:sz w:val="22"/>
              </w:rPr>
              <w:t>Taco Bell CEO / YUM CCO</w:t>
            </w:r>
          </w:p>
        </w:tc>
        <w:tc>
          <w:tcPr>
            <w:tcW w:type="dxa" w:w="1440"/>
          </w:tcPr>
          <w:p>
            <w:r>
              <w:rPr>
                <w:rFonts w:ascii="Calibri" w:hAnsi="Calibri"/>
                <w:sz w:val="22"/>
              </w:rPr>
              <w:t>Open Market Sale</w:t>
            </w:r>
          </w:p>
        </w:tc>
        <w:tc>
          <w:tcPr>
            <w:tcW w:type="dxa" w:w="1440"/>
          </w:tcPr>
          <w:p>
            <w:r>
              <w:rPr>
                <w:rFonts w:ascii="Calibri" w:hAnsi="Calibri"/>
                <w:sz w:val="22"/>
              </w:rPr>
              <w:t>3,000</w:t>
            </w:r>
          </w:p>
        </w:tc>
        <w:tc>
          <w:tcPr>
            <w:tcW w:type="dxa" w:w="1440"/>
          </w:tcPr>
          <w:p>
            <w:r>
              <w:rPr>
                <w:rFonts w:ascii="Calibri" w:hAnsi="Calibri"/>
                <w:sz w:val="22"/>
              </w:rPr>
              <w:t>May 26, 2026</w:t>
            </w:r>
          </w:p>
        </w:tc>
        <w:tc>
          <w:tcPr>
            <w:tcW w:type="dxa" w:w="1440"/>
          </w:tcPr>
          <w:p>
            <w:r>
              <w:rPr>
                <w:rFonts w:ascii="Calibri" w:hAnsi="Calibri"/>
                <w:sz w:val="22"/>
              </w:rPr>
              <w:t>Discretionary (no 10b5-1 plan); modest size; sold at ~$154/share; not alarming given small % of holdings</w:t>
            </w:r>
          </w:p>
        </w:tc>
      </w:tr>
      <w:tr>
        <w:tc>
          <w:tcPr>
            <w:tcW w:type="dxa" w:w="1440"/>
          </w:tcPr>
          <w:p>
            <w:r>
              <w:rPr>
                <w:rFonts w:ascii="Calibri" w:hAnsi="Calibri"/>
                <w:sz w:val="22"/>
              </w:rPr>
              <w:t>Aaron Powell</w:t>
            </w:r>
          </w:p>
        </w:tc>
        <w:tc>
          <w:tcPr>
            <w:tcW w:type="dxa" w:w="1440"/>
          </w:tcPr>
          <w:p>
            <w:r>
              <w:rPr>
                <w:rFonts w:ascii="Calibri" w:hAnsi="Calibri"/>
                <w:sz w:val="22"/>
              </w:rPr>
              <w:t>CEO — Pizza Hut</w:t>
            </w:r>
          </w:p>
        </w:tc>
        <w:tc>
          <w:tcPr>
            <w:tcW w:type="dxa" w:w="1440"/>
          </w:tcPr>
          <w:p>
            <w:r>
              <w:rPr>
                <w:rFonts w:ascii="Calibri" w:hAnsi="Calibri"/>
                <w:sz w:val="22"/>
              </w:rPr>
              <w:t>10b5-1 Planned Sale</w:t>
            </w:r>
          </w:p>
        </w:tc>
        <w:tc>
          <w:tcPr>
            <w:tcW w:type="dxa" w:w="1440"/>
          </w:tcPr>
          <w:p>
            <w:r>
              <w:rPr>
                <w:rFonts w:ascii="Calibri" w:hAnsi="Calibri"/>
                <w:sz w:val="22"/>
              </w:rPr>
              <w:t>6,001</w:t>
            </w:r>
          </w:p>
        </w:tc>
        <w:tc>
          <w:tcPr>
            <w:tcW w:type="dxa" w:w="1440"/>
          </w:tcPr>
          <w:p>
            <w:r>
              <w:rPr>
                <w:rFonts w:ascii="Calibri" w:hAnsi="Calibri"/>
                <w:sz w:val="22"/>
              </w:rPr>
              <w:t>May 19, 2026</w:t>
            </w:r>
          </w:p>
        </w:tc>
        <w:tc>
          <w:tcPr>
            <w:tcW w:type="dxa" w:w="1440"/>
          </w:tcPr>
          <w:p>
            <w:r>
              <w:rPr>
                <w:rFonts w:ascii="Calibri" w:hAnsi="Calibri"/>
                <w:sz w:val="22"/>
              </w:rPr>
              <w:t>Pre-planned; first tranche; consistent with planned liquidation</w:t>
            </w:r>
          </w:p>
        </w:tc>
      </w:tr>
      <w:tr>
        <w:tc>
          <w:tcPr>
            <w:tcW w:type="dxa" w:w="1440"/>
          </w:tcPr>
          <w:p>
            <w:r>
              <w:rPr>
                <w:rFonts w:ascii="Calibri" w:hAnsi="Calibri"/>
                <w:sz w:val="22"/>
              </w:rPr>
              <w:t>Tracy L. Skeans</w:t>
            </w:r>
          </w:p>
        </w:tc>
        <w:tc>
          <w:tcPr>
            <w:tcW w:type="dxa" w:w="1440"/>
          </w:tcPr>
          <w:p>
            <w:r>
              <w:rPr>
                <w:rFonts w:ascii="Calibri" w:hAnsi="Calibri"/>
                <w:sz w:val="22"/>
              </w:rPr>
              <w:t>COO and CPO</w:t>
            </w:r>
          </w:p>
        </w:tc>
        <w:tc>
          <w:tcPr>
            <w:tcW w:type="dxa" w:w="1440"/>
          </w:tcPr>
          <w:p>
            <w:r>
              <w:rPr>
                <w:rFonts w:ascii="Calibri" w:hAnsi="Calibri"/>
                <w:sz w:val="22"/>
              </w:rPr>
              <w:t>10b5-1 Planned Sale</w:t>
            </w:r>
          </w:p>
        </w:tc>
        <w:tc>
          <w:tcPr>
            <w:tcW w:type="dxa" w:w="1440"/>
          </w:tcPr>
          <w:p>
            <w:r>
              <w:rPr>
                <w:rFonts w:ascii="Calibri" w:hAnsi="Calibri"/>
                <w:sz w:val="22"/>
              </w:rPr>
              <w:t>1,837</w:t>
            </w:r>
          </w:p>
        </w:tc>
        <w:tc>
          <w:tcPr>
            <w:tcW w:type="dxa" w:w="1440"/>
          </w:tcPr>
          <w:p>
            <w:r>
              <w:rPr>
                <w:rFonts w:ascii="Calibri" w:hAnsi="Calibri"/>
                <w:sz w:val="22"/>
              </w:rPr>
              <w:t>May 15, 2026</w:t>
            </w:r>
          </w:p>
        </w:tc>
        <w:tc>
          <w:tcPr>
            <w:tcW w:type="dxa" w:w="1440"/>
          </w:tcPr>
          <w:p>
            <w:r>
              <w:rPr>
                <w:rFonts w:ascii="Calibri" w:hAnsi="Calibri"/>
                <w:sz w:val="22"/>
              </w:rPr>
              <w:t>Pre-planned; routine</w:t>
            </w:r>
          </w:p>
        </w:tc>
      </w:tr>
    </w:tbl>
    <w:p>
      <w:r>
        <w:rPr>
          <w:rFonts w:ascii="Calibri" w:hAnsi="Calibri"/>
          <w:color w:val="525866"/>
          <w:sz w:val="22"/>
        </w:rPr>
        <w:t>Source: SEC Form 4 Filings (Insider Transaction Data). All transactions are open-market sales (Form 4 code S). No open-market purchases (code P) were filed in the period. The pattern of predominantly 10b5-1 planned sales is consistent with normal executive compensation liquidation and does not signal unusual bearish conviction. The one discretionary sale (Tresvant, May 26) is modest in size and occurred before the cyclospora outbreak became public.</w:t>
      </w:r>
    </w:p>
    <w:p>
      <w:r>
        <w:br w:type="page"/>
      </w:r>
    </w:p>
    <w:p>
      <w:pPr>
        <w:pStyle w:val="Heading2"/>
      </w:pPr>
      <w:r>
        <w:rPr>
          <w:rFonts w:ascii="Calibri" w:hAnsi="Calibri"/>
          <w:b/>
          <w:color w:val="3B4259"/>
          <w:sz w:val="28"/>
        </w:rPr>
        <w:t>9. Key Risks &amp; Questions for the Call</w:t>
      </w:r>
    </w:p>
    <w:p>
      <w:pPr>
        <w:pStyle w:val="Heading3"/>
      </w:pPr>
      <w:r>
        <w:rPr>
          <w:rFonts w:ascii="Calibri" w:hAnsi="Calibri"/>
          <w:b/>
          <w:color w:val="3B4259"/>
          <w:sz w:val="24"/>
        </w:rPr>
        <w:t>Key Risks</w:t>
      </w:r>
    </w:p>
    <w:p>
      <w:pPr>
        <w:pStyle w:val="ListBullet"/>
        <w:ind w:left="360" w:hanging="360"/>
      </w:pPr>
      <w:r>
        <w:rPr>
          <w:rFonts w:ascii="Calibri" w:hAnsi="Calibri"/>
          <w:b/>
          <w:color w:val="525866"/>
          <w:sz w:val="22"/>
        </w:rPr>
        <w:t xml:space="preserve">Taco Bell cyclospora traffic recovery pace (HIGH): </w:t>
      </w:r>
      <w:r>
        <w:rPr>
          <w:rFonts w:ascii="Calibri" w:hAnsi="Calibri"/>
          <w:color w:val="525866"/>
          <w:sz w:val="22"/>
        </w:rPr>
        <w:t>The outbreak was publicly linked to Taco Bell in mid-July. Traffic was reportedly down ~30% at peak. The key risk is that consumer trust recovery is slower than historical food safety incidents (e.g., Chipotle's E. coli recovery took multiple quarters). If management signals sustained Q3 SSS weakness, estimates could be cut materially.</w:t>
      </w:r>
    </w:p>
    <w:p>
      <w:pPr>
        <w:pStyle w:val="ListBullet"/>
        <w:ind w:left="360" w:hanging="360"/>
      </w:pPr>
      <w:r>
        <w:rPr>
          <w:rFonts w:ascii="Calibri" w:hAnsi="Calibri"/>
          <w:b/>
          <w:color w:val="525866"/>
          <w:sz w:val="22"/>
        </w:rPr>
        <w:t xml:space="preserve">Q3 SSS guidance cut (HIGH): </w:t>
      </w:r>
      <w:r>
        <w:rPr>
          <w:rFonts w:ascii="Calibri" w:hAnsi="Calibri"/>
          <w:color w:val="525866"/>
          <w:sz w:val="22"/>
        </w:rPr>
        <w:t>The cyclospora outbreak falls primarily in Q3 (July). If management provides Q3 SSS guidance or commentary that implies a significant deceleration from Q2's ~6.5% consensus, the stock could re-rate lower. The Street is currently modeling ~5.6% Taco Bell SSS for FY2026, which may prove too high.</w:t>
      </w:r>
    </w:p>
    <w:p>
      <w:pPr>
        <w:pStyle w:val="ListBullet"/>
        <w:ind w:left="360" w:hanging="360"/>
      </w:pPr>
      <w:r>
        <w:rPr>
          <w:rFonts w:ascii="Calibri" w:hAnsi="Calibri"/>
          <w:b/>
          <w:color w:val="525866"/>
          <w:sz w:val="22"/>
        </w:rPr>
        <w:t xml:space="preserve">Pizza Hut divestiture close timing (MEDIUM): </w:t>
      </w:r>
      <w:r>
        <w:rPr>
          <w:rFonts w:ascii="Calibri" w:hAnsi="Calibri"/>
          <w:color w:val="525866"/>
          <w:sz w:val="22"/>
        </w:rPr>
        <w:t>The ex-China transaction has a termination right if not closed by September 16, 2026 (extendable for regulatory approvals). The China transaction must close by November 16, 2026. Any regulatory delay would push out the capital return timeline and create uncertainty.</w:t>
      </w:r>
    </w:p>
    <w:p>
      <w:pPr>
        <w:pStyle w:val="ListBullet"/>
        <w:ind w:left="360" w:hanging="360"/>
      </w:pPr>
      <w:r>
        <w:rPr>
          <w:rFonts w:ascii="Calibri" w:hAnsi="Calibri"/>
          <w:b/>
          <w:color w:val="525866"/>
          <w:sz w:val="22"/>
        </w:rPr>
        <w:t xml:space="preserve">KFC international macro headwinds (MEDIUM): </w:t>
      </w:r>
      <w:r>
        <w:rPr>
          <w:rFonts w:ascii="Calibri" w:hAnsi="Calibri"/>
          <w:color w:val="525866"/>
          <w:sz w:val="22"/>
        </w:rPr>
        <w:t>DPZ flagged macro and geopolitical uncertainty as a headwind for international comps. KFC's heavy exposure to the Middle East (though &lt;150 units in pipeline) and emerging markets creates FX and geopolitical risk.</w:t>
      </w:r>
    </w:p>
    <w:p>
      <w:pPr>
        <w:pStyle w:val="ListBullet"/>
        <w:ind w:left="360" w:hanging="360"/>
      </w:pPr>
      <w:r>
        <w:rPr>
          <w:rFonts w:ascii="Calibri" w:hAnsi="Calibri"/>
          <w:b/>
          <w:color w:val="525866"/>
          <w:sz w:val="22"/>
        </w:rPr>
        <w:t xml:space="preserve">Lower-income consumer pressure (MEDIUM): </w:t>
      </w:r>
      <w:r>
        <w:rPr>
          <w:rFonts w:ascii="Calibri" w:hAnsi="Calibri"/>
          <w:color w:val="525866"/>
          <w:sz w:val="22"/>
        </w:rPr>
        <w:t>WING's -7.5% SSS and SBUX's commentary on lower-income consumer stress confirm that Taco Bell's core customer base is under pressure. If the cyclospora outbreak compounds this, Q3 could see a double headwind.</w:t>
      </w:r>
    </w:p>
    <w:p>
      <w:pPr>
        <w:pStyle w:val="ListBullet"/>
        <w:ind w:left="360" w:hanging="360"/>
      </w:pPr>
      <w:r>
        <w:rPr>
          <w:rFonts w:ascii="Calibri" w:hAnsi="Calibri"/>
          <w:b/>
          <w:color w:val="525866"/>
          <w:sz w:val="22"/>
        </w:rPr>
        <w:t xml:space="preserve">Net new unit distortion from Pizza Hut (LOW): </w:t>
      </w:r>
      <w:r>
        <w:rPr>
          <w:rFonts w:ascii="Calibri" w:hAnsi="Calibri"/>
          <w:color w:val="525866"/>
          <w:sz w:val="22"/>
        </w:rPr>
        <w:t>The Pizza Hut divestiture will create a large negative net unit number in Q3 2026 when the transaction closes. Investors should focus on ex-Pizza Hut unit growth, which remains on track.</w:t>
      </w:r>
    </w:p>
    <w:p>
      <w:pPr>
        <w:pStyle w:val="Heading3"/>
      </w:pPr>
      <w:r>
        <w:rPr>
          <w:rFonts w:ascii="Calibri" w:hAnsi="Calibri"/>
          <w:b/>
          <w:color w:val="3B4259"/>
          <w:sz w:val="24"/>
        </w:rPr>
        <w:t>Key Questions for the Call</w:t>
      </w:r>
    </w:p>
    <w:p>
      <w:pPr>
        <w:pStyle w:val="ListNumber"/>
        <w:ind w:left="360" w:hanging="360"/>
      </w:pPr>
      <w:r>
        <w:rPr>
          <w:rFonts w:ascii="Calibri" w:hAnsi="Calibri"/>
          <w:b/>
          <w:color w:val="525866"/>
          <w:sz w:val="22"/>
        </w:rPr>
        <w:t xml:space="preserve">Taco Bell traffic recovery: </w:t>
      </w:r>
      <w:r>
        <w:rPr>
          <w:rFonts w:ascii="Calibri" w:hAnsi="Calibri"/>
          <w:color w:val="525866"/>
          <w:sz w:val="22"/>
        </w:rPr>
        <w:t>What is the current trajectory of Taco Bell U.S. traffic following the cyclospora outbreak? Has traffic returned to pre-outbreak levels, and what is management's expectation for Q3 SSS?</w:t>
      </w:r>
    </w:p>
    <w:p>
      <w:pPr>
        <w:pStyle w:val="ListNumber"/>
        <w:ind w:left="360" w:hanging="360"/>
      </w:pPr>
      <w:r>
        <w:rPr>
          <w:rFonts w:ascii="Calibri" w:hAnsi="Calibri"/>
          <w:b/>
          <w:color w:val="525866"/>
          <w:sz w:val="22"/>
        </w:rPr>
        <w:t xml:space="preserve">Cyclospora financial impact: </w:t>
      </w:r>
      <w:r>
        <w:rPr>
          <w:rFonts w:ascii="Calibri" w:hAnsi="Calibri"/>
          <w:color w:val="525866"/>
          <w:sz w:val="22"/>
        </w:rPr>
        <w:t>Can management quantify the SSS impact from the outbreak in late Q2 and early Q3? Is there any insurance recovery or supplier indemnification from Taylor Farms?</w:t>
      </w:r>
    </w:p>
    <w:p>
      <w:pPr>
        <w:pStyle w:val="ListNumber"/>
        <w:ind w:left="360" w:hanging="360"/>
      </w:pPr>
      <w:r>
        <w:rPr>
          <w:rFonts w:ascii="Calibri" w:hAnsi="Calibri"/>
          <w:b/>
          <w:color w:val="525866"/>
          <w:sz w:val="22"/>
        </w:rPr>
        <w:t xml:space="preserve">Pizza Hut close timing: </w:t>
      </w:r>
      <w:r>
        <w:rPr>
          <w:rFonts w:ascii="Calibri" w:hAnsi="Calibri"/>
          <w:color w:val="525866"/>
          <w:sz w:val="22"/>
        </w:rPr>
        <w:t>What is the current status of regulatory approvals for both the ex-China and China transactions? Is the Q3 2026 close timeline still on track?</w:t>
      </w:r>
    </w:p>
    <w:p>
      <w:pPr>
        <w:pStyle w:val="ListNumber"/>
        <w:ind w:left="360" w:hanging="360"/>
      </w:pPr>
      <w:r>
        <w:rPr>
          <w:rFonts w:ascii="Calibri" w:hAnsi="Calibri"/>
          <w:b/>
          <w:color w:val="525866"/>
          <w:sz w:val="22"/>
        </w:rPr>
        <w:t xml:space="preserve">Capital return post-Pizza Hut: </w:t>
      </w:r>
      <w:r>
        <w:rPr>
          <w:rFonts w:ascii="Calibri" w:hAnsi="Calibri"/>
          <w:color w:val="525866"/>
          <w:sz w:val="22"/>
        </w:rPr>
        <w:t>How does management plan to deploy the ~$2.69B in net proceeds? What is the expected pace of the $4B buyback authorization?</w:t>
      </w:r>
    </w:p>
    <w:p>
      <w:pPr>
        <w:pStyle w:val="ListNumber"/>
        <w:ind w:left="360" w:hanging="360"/>
      </w:pPr>
      <w:r>
        <w:rPr>
          <w:rFonts w:ascii="Calibri" w:hAnsi="Calibri"/>
          <w:b/>
          <w:color w:val="525866"/>
          <w:sz w:val="22"/>
        </w:rPr>
        <w:t xml:space="preserve">Taco Bell margin guidance: </w:t>
      </w:r>
      <w:r>
        <w:rPr>
          <w:rFonts w:ascii="Calibri" w:hAnsi="Calibri"/>
          <w:color w:val="525866"/>
          <w:sz w:val="22"/>
        </w:rPr>
        <w:t>Is the 24.5%–25.5% full-year Taco Bell U.S. restaurant-level margin guidance still intact given the cyclospora-related traffic disruption?</w:t>
      </w:r>
    </w:p>
    <w:p>
      <w:pPr>
        <w:pStyle w:val="ListNumber"/>
        <w:ind w:left="360" w:hanging="360"/>
      </w:pPr>
      <w:r>
        <w:rPr>
          <w:rFonts w:ascii="Calibri" w:hAnsi="Calibri"/>
          <w:b/>
          <w:color w:val="525866"/>
          <w:sz w:val="22"/>
        </w:rPr>
        <w:t xml:space="preserve">KFC international momentum: </w:t>
      </w:r>
      <w:r>
        <w:rPr>
          <w:rFonts w:ascii="Calibri" w:hAnsi="Calibri"/>
          <w:color w:val="525866"/>
          <w:sz w:val="22"/>
        </w:rPr>
        <w:t>How did KFC international perform in Q2 against the backdrop of macro and geopolitical uncertainty? Is the development pipeline still on track?</w:t>
      </w:r>
    </w:p>
    <w:p>
      <w:pPr>
        <w:pStyle w:val="ListNumber"/>
        <w:ind w:left="360" w:hanging="360"/>
      </w:pPr>
      <w:r>
        <w:rPr>
          <w:rFonts w:ascii="Calibri" w:hAnsi="Calibri"/>
          <w:b/>
          <w:color w:val="525866"/>
          <w:sz w:val="22"/>
        </w:rPr>
        <w:t xml:space="preserve">Byte platform progress: </w:t>
      </w:r>
      <w:r>
        <w:rPr>
          <w:rFonts w:ascii="Calibri" w:hAnsi="Calibri"/>
          <w:color w:val="525866"/>
          <w:sz w:val="22"/>
        </w:rPr>
        <w:t>What is the status of the Byte platform rollout in Australia (digital/e-commerce) and the UK (Smart Ops)? Are there any updates on AI-driven drive-thru testing at Taco Bell?</w:t>
      </w:r>
    </w:p>
    <w:p>
      <w:pPr>
        <w:pStyle w:val="ListNumber"/>
        <w:ind w:left="360" w:hanging="360"/>
      </w:pPr>
      <w:r>
        <w:rPr>
          <w:rFonts w:ascii="Calibri" w:hAnsi="Calibri"/>
          <w:b/>
          <w:color w:val="525866"/>
          <w:sz w:val="22"/>
        </w:rPr>
        <w:t xml:space="preserve">G&amp;A trajectory: </w:t>
      </w:r>
      <w:r>
        <w:rPr>
          <w:rFonts w:ascii="Calibri" w:hAnsi="Calibri"/>
          <w:color w:val="525866"/>
          <w:sz w:val="22"/>
        </w:rPr>
        <w:t>Q2 G&amp;A was guided to high single-digit growth YoY (ex-PH). Did this come in as expected, and what is the full-year trajectory?</w:t>
      </w:r>
    </w:p>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