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ABNB before writing the preview. Let me gather recent earnings materials, news, and price data.I'll read the most recent earnings materials and get price data.Let me get recent news context and check analyst sentiment.I now have what I need. Here's the earnings preview.</w:t>
      </w:r>
    </w:p>
    <w:p>
      <w:r>
        <w:pict>
          <v:rect style="width:0;height:1.5pt" o:hralign="center" o:hrstd="t" o:hr="t"/>
        </w:pict>
      </w:r>
    </w:p>
    <w:bookmarkStart w:id="16" w:name="airbnb-abnb--q2-2026-earnings-preview"/>
    <w:p>
      <w:pPr>
        <w:pStyle w:val="Heading1"/>
      </w:pPr>
      <w:r>
        <w:t xml:space="preserve">Airbnb (ABNB) — Q2 2026 Earnings Preview</w:t>
      </w:r>
    </w:p>
    <w:bookmarkStart w:id="9" w:name="Xdaf382bde04ffb48fc7c0cc371f9a86a024648b"/>
    <w:p>
      <w:pPr>
        <w:pStyle w:val="Heading3"/>
      </w:pPr>
      <w:r>
        <w:t xml:space="preserve">Reports after the close Thursday, August 6, 2026 (2026Q2 Earnings Call)</w:t>
      </w:r>
    </w:p>
    <w:bookmarkEnd w:id="9"/>
    <w:bookmarkStart w:id="10" w:name="the-one-line-setup"/>
    <w:p>
      <w:pPr>
        <w:pStyle w:val="Heading2"/>
      </w:pPr>
      <w:r>
        <w:t xml:space="preserve">The one-line setup</w:t>
      </w:r>
    </w:p>
    <w:p>
      <w:pPr>
        <w:pStyle w:val="FirstParagraph"/>
      </w:pPr>
      <w:r>
        <w:t xml:space="preserve">Airbnb heads into Q2 with real momentum from its Q1 beat-and-raise, a re-accelerating top line, and two potential swing factors landing right in the quarter — the</w:t>
      </w:r>
      <w:r>
        <w:t xml:space="preserve"> </w:t>
      </w:r>
      <w:r>
        <w:rPr>
          <w:b/>
          <w:bCs/>
        </w:rPr>
        <w:t xml:space="preserve">FIFA World Cup</w:t>
      </w:r>
      <w:r>
        <w:t xml:space="preserve"> </w:t>
      </w:r>
      <w:r>
        <w:t xml:space="preserve">and the first full read on the</w:t>
      </w:r>
      <w:r>
        <w:t xml:space="preserve"> </w:t>
      </w:r>
      <w:r>
        <w:rPr>
          <w:b/>
          <w:bCs/>
        </w:rPr>
        <w:t xml:space="preserve">May 20 "Summer Release"</w:t>
      </w:r>
      <w:r>
        <w:t xml:space="preserve"> </w:t>
      </w:r>
      <w:r>
        <w:t xml:space="preserve">(expanded Services, Experiences, and Hotels). The offset is a</w:t>
      </w:r>
      <w:r>
        <w:t xml:space="preserve"> </w:t>
      </w:r>
      <w:r>
        <w:rPr>
          <w:b/>
          <w:bCs/>
        </w:rPr>
        <w:t xml:space="preserve">worsening macro/geopolitical backdrop</w:t>
      </w:r>
      <w:r>
        <w:t xml:space="preserve"> </w:t>
      </w:r>
      <w:r>
        <w:t xml:space="preserve">(Middle East conflict, $4+ gas, a jittery market) and the reality that management has already told you nights growth will decelerate and comps get tougher in H2. The stock has rallied ~15% YTD into the print, so the bar has quietly risen.</w:t>
      </w:r>
    </w:p>
    <w:p>
      <w:r>
        <w:pict>
          <v:rect style="width:0;height:1.5pt" o:hralign="center" o:hrstd="t" o:hr="t"/>
        </w:pict>
      </w:r>
    </w:p>
    <w:bookmarkEnd w:id="10"/>
    <w:bookmarkStart w:id="11" w:name="what-management-guided-you-to-expect"/>
    <w:p>
      <w:pPr>
        <w:pStyle w:val="Heading2"/>
      </w:pPr>
      <w:r>
        <w:t xml:space="preserve">What management guided you to expect</w:t>
      </w:r>
    </w:p>
    <w:p>
      <w:pPr>
        <w:pStyle w:val="FirstParagraph"/>
      </w:pPr>
      <w:r>
        <w:t xml:space="preserve">Airbnb's own Q2 guidance (issued May 7) is the anchor: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2025 actual</w:t>
            </w:r>
          </w:p>
        </w:tc>
        <w:tc>
          <w:tcPr/>
          <w:p>
            <w:pPr>
              <w:pStyle w:val="Compact"/>
            </w:pPr>
            <w:r>
              <w:t xml:space="preserve">Q2 2026 guidance</w:t>
            </w:r>
          </w:p>
        </w:tc>
        <w:tc>
          <w:tcPr/>
          <w:p>
            <w:pPr>
              <w:pStyle w:val="Compact"/>
            </w:pPr>
            <w:r>
              <w:t xml:space="preserve">Implied Y/Y</w:t>
            </w:r>
          </w:p>
        </w:tc>
      </w:tr>
      <w:tr>
        <w:tc>
          <w:tcPr/>
          <w:p>
            <w:pPr>
              <w:pStyle w:val="Compact"/>
            </w:pPr>
            <w:r>
              <w:t xml:space="preserve">Revenue</w:t>
            </w:r>
          </w:p>
        </w:tc>
        <w:tc>
          <w:tcPr/>
          <w:p>
            <w:pPr>
              <w:pStyle w:val="Compact"/>
            </w:pPr>
            <w:r>
              <w:t xml:space="preserve">$3,096M</w:t>
            </w:r>
          </w:p>
        </w:tc>
        <w:tc>
          <w:tcPr/>
          <w:p>
            <w:pPr>
              <w:pStyle w:val="Compact"/>
            </w:pPr>
            <w:r>
              <w:rPr>
                <w:b/>
                <w:bCs/>
              </w:rPr>
              <w:t xml:space="preserve">$3.54B – $3.60B</w:t>
            </w:r>
          </w:p>
        </w:tc>
        <w:tc>
          <w:tcPr/>
          <w:p>
            <w:pPr>
              <w:pStyle w:val="Compact"/>
            </w:pPr>
            <w:r>
              <w:rPr>
                <w:b/>
                <w:bCs/>
              </w:rPr>
              <w:t xml:space="preserve">+14% to +16%</w:t>
            </w:r>
            <w:r>
              <w:t xml:space="preserve"> </w:t>
            </w:r>
            <w:r>
              <w:t xml:space="preserve">(incl. ~3% FX tailwind)</w:t>
            </w:r>
          </w:p>
        </w:tc>
      </w:tr>
      <w:tr>
        <w:tc>
          <w:tcPr/>
          <w:p>
            <w:pPr>
              <w:pStyle w:val="Compact"/>
            </w:pPr>
            <w:r>
              <w:t xml:space="preserve">GBV</w:t>
            </w:r>
          </w:p>
        </w:tc>
        <w:tc>
          <w:tcPr/>
          <w:p>
            <w:pPr>
              <w:pStyle w:val="Compact"/>
            </w:pPr>
            <w:r>
              <w:t xml:space="preserve">$23.5B</w:t>
            </w:r>
          </w:p>
        </w:tc>
        <w:tc>
          <w:tcPr/>
          <w:p>
            <w:pPr>
              <w:pStyle w:val="Compact"/>
            </w:pPr>
            <w:r>
              <w:t xml:space="preserve">"low double digits" growth</w:t>
            </w:r>
          </w:p>
        </w:tc>
        <w:tc>
          <w:tcPr/>
          <w:p>
            <w:pPr>
              <w:pStyle w:val="Compact"/>
            </w:pPr>
            <w:r>
              <w:t xml:space="preserve">~+10–12%</w:t>
            </w:r>
          </w:p>
        </w:tc>
      </w:tr>
      <w:tr>
        <w:tc>
          <w:tcPr/>
          <w:p>
            <w:pPr>
              <w:pStyle w:val="Compact"/>
            </w:pPr>
            <w:r>
              <w:t xml:space="preserve">Nights &amp; Seats Booked</w:t>
            </w:r>
          </w:p>
        </w:tc>
        <w:tc>
          <w:tcPr/>
          <w:p>
            <w:pPr>
              <w:pStyle w:val="Compact"/>
            </w:pPr>
            <w:r>
              <w:t xml:space="preserve">134.4M (+7%)</w:t>
            </w:r>
          </w:p>
        </w:tc>
        <w:tc>
          <w:tcPr/>
          <w:p>
            <w:pPr>
              <w:pStyle w:val="Compact"/>
            </w:pPr>
            <w:r>
              <w:t xml:space="preserve">"slightly decelerate" vs. Q1's +9%</w:t>
            </w:r>
          </w:p>
        </w:tc>
        <w:tc>
          <w:tcPr/>
          <w:p>
            <w:pPr>
              <w:pStyle w:val="Compact"/>
            </w:pPr>
            <w:r>
              <w:t xml:space="preserve">~+8% (w/ ~100bps Mid-East drag)</w:t>
            </w:r>
          </w:p>
        </w:tc>
      </w:tr>
      <w:tr>
        <w:tc>
          <w:tcPr/>
          <w:p>
            <w:pPr>
              <w:pStyle w:val="Compact"/>
            </w:pPr>
            <w:r>
              <w:t xml:space="preserve">Implied take rate</w:t>
            </w:r>
          </w:p>
        </w:tc>
        <w:tc>
          <w:tcPr/>
          <w:p>
            <w:pPr>
              <w:pStyle w:val="Compact"/>
            </w:pPr>
            <w:r>
              <w:t xml:space="preserve">~13.2%</w:t>
            </w:r>
          </w:p>
        </w:tc>
        <w:tc>
          <w:tcPr/>
          <w:p>
            <w:pPr>
              <w:pStyle w:val="Compact"/>
            </w:pPr>
            <w:r>
              <w:t xml:space="preserve">"up slightly Y/Y"</w:t>
            </w:r>
          </w:p>
        </w:tc>
        <w:tc>
          <w:tcPr/>
          <w:p>
            <w:pPr>
              <w:pStyle w:val="Compact"/>
            </w:pPr>
            <w:r>
              <w:t xml:space="preserve">modest expansion</w:t>
            </w:r>
          </w:p>
        </w:tc>
      </w:tr>
      <w:tr>
        <w:tc>
          <w:tcPr/>
          <w:p>
            <w:pPr>
              <w:pStyle w:val="Compact"/>
            </w:pPr>
            <w:r>
              <w:t xml:space="preserve">Adj. EBITDA</w:t>
            </w:r>
          </w:p>
        </w:tc>
        <w:tc>
          <w:tcPr/>
          <w:p>
            <w:pPr>
              <w:pStyle w:val="Compact"/>
            </w:pPr>
            <w:r>
              <w:t xml:space="preserve">$1,043M (34% margin)</w:t>
            </w:r>
          </w:p>
        </w:tc>
        <w:tc>
          <w:tcPr/>
          <w:p>
            <w:pPr>
              <w:pStyle w:val="Compact"/>
            </w:pPr>
            <w:r>
              <w:t xml:space="preserve">"up Y/Y" (amount and margin)</w:t>
            </w:r>
          </w:p>
        </w:tc>
        <w:tc>
          <w:tcPr/>
          <w:p>
            <w:pPr>
              <w:pStyle w:val="Compact"/>
            </w:pPr>
            <w:r>
              <w:t xml:space="preserve">—</w:t>
            </w:r>
          </w:p>
        </w:tc>
      </w:tr>
    </w:tbl>
    <w:p>
      <w:pPr>
        <w:pStyle w:val="BodyText"/>
      </w:pPr>
      <w:r>
        <w:rPr>
          <w:b/>
          <w:bCs/>
        </w:rPr>
        <w:t xml:space="preserve">Full-year framing:</w:t>
      </w:r>
      <w:r>
        <w:t xml:space="preserve"> </w:t>
      </w:r>
      <w:r>
        <w:t xml:space="preserve">revenue growth accelerating to "low-to-mid teens," and Adjusted EBITDA margin "at least 35%," with explicit intent to</w:t>
      </w:r>
      <w:r>
        <w:t xml:space="preserve"> </w:t>
      </w:r>
      <w:r>
        <w:rPr>
          <w:b/>
          <w:bCs/>
        </w:rPr>
        <w:t xml:space="preserve">reinvest</w:t>
      </w:r>
      <w:r>
        <w:t xml:space="preserve"> </w:t>
      </w:r>
      <w:r>
        <w:t xml:space="preserve">upside into marketing, international expansion, and AI rather than let it all drop to the bottom line. Effective tax rate guided to "high teens" for 2026.</w:t>
      </w:r>
    </w:p>
    <w:p>
      <w:pPr>
        <w:pStyle w:val="BodyText"/>
      </w:pPr>
      <w:r>
        <w:t xml:space="preserve">For context, the recent quarterly trajectory shows the re-acceleration story management is selling:</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p>
        </w:tc>
        <w:tc>
          <w:tcPr/>
          <w:p>
            <w:pPr>
              <w:pStyle w:val="Compact"/>
            </w:pPr>
            <w:r>
              <w:t xml:space="preserve">Q2'25</w:t>
            </w:r>
          </w:p>
        </w:tc>
        <w:tc>
          <w:tcPr/>
          <w:p>
            <w:pPr>
              <w:pStyle w:val="Compact"/>
            </w:pPr>
            <w:r>
              <w:t xml:space="preserve">Q3'25</w:t>
            </w:r>
          </w:p>
        </w:tc>
        <w:tc>
          <w:tcPr/>
          <w:p>
            <w:pPr>
              <w:pStyle w:val="Compact"/>
            </w:pPr>
            <w:r>
              <w:t xml:space="preserve">Q4'25</w:t>
            </w:r>
          </w:p>
        </w:tc>
        <w:tc>
          <w:tcPr/>
          <w:p>
            <w:pPr>
              <w:pStyle w:val="Compact"/>
            </w:pPr>
            <w:r>
              <w:t xml:space="preserve">Q1'26</w:t>
            </w:r>
          </w:p>
        </w:tc>
      </w:tr>
      <w:tr>
        <w:tc>
          <w:tcPr/>
          <w:p>
            <w:pPr>
              <w:pStyle w:val="Compact"/>
            </w:pPr>
            <w:r>
              <w:t xml:space="preserve">Revenue Y/Y</w:t>
            </w:r>
          </w:p>
        </w:tc>
        <w:tc>
          <w:tcPr/>
          <w:p>
            <w:pPr>
              <w:pStyle w:val="Compact"/>
            </w:pPr>
            <w:r>
              <w:t xml:space="preserve">13%</w:t>
            </w:r>
          </w:p>
        </w:tc>
        <w:tc>
          <w:tcPr/>
          <w:p>
            <w:pPr>
              <w:pStyle w:val="Compact"/>
            </w:pPr>
            <w:r>
              <w:t xml:space="preserve">10%</w:t>
            </w:r>
          </w:p>
        </w:tc>
        <w:tc>
          <w:tcPr/>
          <w:p>
            <w:pPr>
              <w:pStyle w:val="Compact"/>
            </w:pPr>
            <w:r>
              <w:t xml:space="preserve">12%</w:t>
            </w:r>
          </w:p>
        </w:tc>
        <w:tc>
          <w:tcPr/>
          <w:p>
            <w:pPr>
              <w:pStyle w:val="Compact"/>
            </w:pPr>
            <w:r>
              <w:rPr>
                <w:b/>
                <w:bCs/>
              </w:rPr>
              <w:t xml:space="preserve">18%</w:t>
            </w:r>
          </w:p>
        </w:tc>
      </w:tr>
      <w:tr>
        <w:tc>
          <w:tcPr/>
          <w:p>
            <w:pPr>
              <w:pStyle w:val="Compact"/>
            </w:pPr>
            <w:r>
              <w:t xml:space="preserve">GBV Y/Y</w:t>
            </w:r>
          </w:p>
        </w:tc>
        <w:tc>
          <w:tcPr/>
          <w:p>
            <w:pPr>
              <w:pStyle w:val="Compact"/>
            </w:pPr>
            <w:r>
              <w:t xml:space="preserve">11%</w:t>
            </w:r>
          </w:p>
        </w:tc>
        <w:tc>
          <w:tcPr/>
          <w:p>
            <w:pPr>
              <w:pStyle w:val="Compact"/>
            </w:pPr>
            <w:r>
              <w:t xml:space="preserve">14%</w:t>
            </w:r>
          </w:p>
        </w:tc>
        <w:tc>
          <w:tcPr/>
          <w:p>
            <w:pPr>
              <w:pStyle w:val="Compact"/>
            </w:pPr>
            <w:r>
              <w:t xml:space="preserve">16%</w:t>
            </w:r>
          </w:p>
        </w:tc>
        <w:tc>
          <w:tcPr/>
          <w:p>
            <w:pPr>
              <w:pStyle w:val="Compact"/>
            </w:pPr>
            <w:r>
              <w:rPr>
                <w:b/>
                <w:bCs/>
              </w:rPr>
              <w:t xml:space="preserve">19%</w:t>
            </w:r>
          </w:p>
        </w:tc>
      </w:tr>
      <w:tr>
        <w:tc>
          <w:tcPr/>
          <w:p>
            <w:pPr>
              <w:pStyle w:val="Compact"/>
            </w:pPr>
            <w:r>
              <w:t xml:space="preserve">N&amp;S Booked Y/Y</w:t>
            </w:r>
          </w:p>
        </w:tc>
        <w:tc>
          <w:tcPr/>
          <w:p>
            <w:pPr>
              <w:pStyle w:val="Compact"/>
            </w:pPr>
            <w:r>
              <w:t xml:space="preserve">7%</w:t>
            </w:r>
          </w:p>
        </w:tc>
        <w:tc>
          <w:tcPr/>
          <w:p>
            <w:pPr>
              <w:pStyle w:val="Compact"/>
            </w:pPr>
            <w:r>
              <w:t xml:space="preserve">9%</w:t>
            </w:r>
          </w:p>
        </w:tc>
        <w:tc>
          <w:tcPr/>
          <w:p>
            <w:pPr>
              <w:pStyle w:val="Compact"/>
            </w:pPr>
            <w:r>
              <w:t xml:space="preserve">10%</w:t>
            </w:r>
          </w:p>
        </w:tc>
        <w:tc>
          <w:tcPr/>
          <w:p>
            <w:pPr>
              <w:pStyle w:val="Compact"/>
            </w:pPr>
            <w:r>
              <w:t xml:space="preserve">9%</w:t>
            </w:r>
          </w:p>
        </w:tc>
      </w:tr>
      <w:tr>
        <w:tc>
          <w:tcPr/>
          <w:p>
            <w:pPr>
              <w:pStyle w:val="Compact"/>
            </w:pPr>
            <w:r>
              <w:t xml:space="preserve">ADR Y/Y</w:t>
            </w:r>
          </w:p>
        </w:tc>
        <w:tc>
          <w:tcPr/>
          <w:p>
            <w:pPr>
              <w:pStyle w:val="Compact"/>
            </w:pPr>
            <w:r>
              <w:t xml:space="preserve">3%</w:t>
            </w:r>
          </w:p>
        </w:tc>
        <w:tc>
          <w:tcPr/>
          <w:p>
            <w:pPr>
              <w:pStyle w:val="Compact"/>
            </w:pPr>
            <w:r>
              <w:t xml:space="preserve">5%</w:t>
            </w:r>
          </w:p>
        </w:tc>
        <w:tc>
          <w:tcPr/>
          <w:p>
            <w:pPr>
              <w:pStyle w:val="Compact"/>
            </w:pPr>
            <w:r>
              <w:t xml:space="preserve">6%</w:t>
            </w:r>
          </w:p>
        </w:tc>
        <w:tc>
          <w:tcPr/>
          <w:p>
            <w:pPr>
              <w:pStyle w:val="Compact"/>
            </w:pPr>
            <w:r>
              <w:rPr>
                <w:b/>
                <w:bCs/>
              </w:rPr>
              <w:t xml:space="preserve">9%</w:t>
            </w:r>
          </w:p>
        </w:tc>
      </w:tr>
      <w:tr>
        <w:tc>
          <w:tcPr/>
          <w:p>
            <w:pPr>
              <w:pStyle w:val="Compact"/>
            </w:pPr>
            <w:r>
              <w:t xml:space="preserve">Adj. EBITDA margin</w:t>
            </w:r>
          </w:p>
        </w:tc>
        <w:tc>
          <w:tcPr/>
          <w:p>
            <w:pPr>
              <w:pStyle w:val="Compact"/>
            </w:pPr>
            <w:r>
              <w:t xml:space="preserve">34%</w:t>
            </w:r>
          </w:p>
        </w:tc>
        <w:tc>
          <w:tcPr/>
          <w:p>
            <w:pPr>
              <w:pStyle w:val="Compact"/>
            </w:pPr>
            <w:r>
              <w:t xml:space="preserve">50%</w:t>
            </w:r>
          </w:p>
        </w:tc>
        <w:tc>
          <w:tcPr/>
          <w:p>
            <w:pPr>
              <w:pStyle w:val="Compact"/>
            </w:pPr>
            <w:r>
              <w:t xml:space="preserve">28%</w:t>
            </w:r>
          </w:p>
        </w:tc>
        <w:tc>
          <w:tcPr/>
          <w:p>
            <w:pPr>
              <w:pStyle w:val="Compact"/>
            </w:pPr>
            <w:r>
              <w:t xml:space="preserve">19%</w:t>
            </w:r>
          </w:p>
        </w:tc>
      </w:tr>
    </w:tbl>
    <w:p>
      <w:r>
        <w:pict>
          <v:rect style="width:0;height:1.5pt" o:hralign="center" o:hrstd="t" o:hr="t"/>
        </w:pict>
      </w:r>
    </w:p>
    <w:bookmarkEnd w:id="11"/>
    <w:bookmarkStart w:id="12" w:name="the-key-debates-going-in"/>
    <w:p>
      <w:pPr>
        <w:pStyle w:val="Heading2"/>
      </w:pPr>
      <w:r>
        <w:t xml:space="preserve">The key debates going in</w:t>
      </w:r>
    </w:p>
    <w:p>
      <w:pPr>
        <w:pStyle w:val="FirstParagraph"/>
      </w:pPr>
      <w:r>
        <w:rPr>
          <w:b/>
          <w:bCs/>
        </w:rPr>
        <w:t xml:space="preserve">1. Can nights growth hold up as macro bites?</w:t>
      </w:r>
      <w:r>
        <w:t xml:space="preserve"> </w:t>
      </w:r>
      <w:r>
        <w:t xml:space="preserve">Management already flagged a ~100bps Middle East headwind and a "slight" deceleration from Q1's 9%. The bigger question is broader consumer health: with oil spiking on the Iran conflict and U.S. gas above $4/gallon, discretionary travel demand is the swing variable. Airbnb's counter-narrative is resilience — "when travel patterns shift, Airbnb adapts," pointing to millions of listings at every price point. Watch North America nights (high-single-digit and accelerating in Q1) and whether Latin America/APAC (high-teens) stay hot. Peer read-through is mixed: Booking guided a soft Q3 (constant-FX revenue +5–7%, gross bookings +4–6%), and Uber's stock fell on a light guide despite strong execution.</w:t>
      </w:r>
    </w:p>
    <w:p>
      <w:pPr>
        <w:pStyle w:val="BodyText"/>
      </w:pPr>
      <w:r>
        <w:rPr>
          <w:b/>
          <w:bCs/>
        </w:rPr>
        <w:t xml:space="preserve">2. World Cup — how much, and when?</w:t>
      </w:r>
      <w:r>
        <w:t xml:space="preserve"> </w:t>
      </w:r>
      <w:r>
        <w:t xml:space="preserve">FIFA World Cup 2026 (16 cities, 3 countries, June–July) falls squarely in Q2/Q3 and is expected to be</w:t>
      </w:r>
      <w:r>
        <w:t xml:space="preserve"> </w:t>
      </w:r>
      <w:r>
        <w:rPr>
          <w:b/>
          <w:bCs/>
        </w:rPr>
        <w:t xml:space="preserve">the largest event in Airbnb's history</w:t>
      </w:r>
      <w:r>
        <w:t xml:space="preserve">, with 100,000+ first-time listings added across host cities. But management warned World Cup bookings skew</w:t>
      </w:r>
      <w:r>
        <w:t xml:space="preserve"> </w:t>
      </w:r>
      <w:r>
        <w:rPr>
          <w:b/>
          <w:bCs/>
        </w:rPr>
        <w:t xml:space="preserve">close to the event dates</w:t>
      </w:r>
      <w:r>
        <w:t xml:space="preserve">, so the timing splits across Q2 and Q3. Look for early commentary on realized nights, ADR uplift, and — crucially — supply retention (Paris Olympics retained &gt;50% of event-driven listings six months out).</w:t>
      </w:r>
    </w:p>
    <w:p>
      <w:pPr>
        <w:pStyle w:val="BodyText"/>
      </w:pPr>
      <w:r>
        <w:rPr>
          <w:b/>
          <w:bCs/>
        </w:rPr>
        <w:t xml:space="preserve">3. First read on the May 20 Summer Release.</w:t>
      </w:r>
      <w:r>
        <w:t xml:space="preserve"> </w:t>
      </w:r>
      <w:r>
        <w:t xml:space="preserve">Q2 is the first quarter reflecting the expanded push into</w:t>
      </w:r>
      <w:r>
        <w:t xml:space="preserve"> </w:t>
      </w:r>
      <w:r>
        <w:rPr>
          <w:b/>
          <w:bCs/>
        </w:rPr>
        <w:t xml:space="preserve">Services, Experiences, and Hotels</w:t>
      </w:r>
      <w:r>
        <w:t xml:space="preserve">. Experiences are pitched as a demand flywheel (~1 in 3 experience bookers book a stay within 90 days). Hotels are still a single-digit % of nights but growing at ~2x the overall business, with ~55% of hotel bookers returning to book a home. Any hard numbers or engagement metrics here will shape the "platform re-rating" thesis.</w:t>
      </w:r>
    </w:p>
    <w:p>
      <w:pPr>
        <w:pStyle w:val="BodyText"/>
      </w:pPr>
      <w:r>
        <w:rPr>
          <w:b/>
          <w:bCs/>
        </w:rPr>
        <w:t xml:space="preserve">4. Take rate / monetization.</w:t>
      </w:r>
      <w:r>
        <w:t xml:space="preserve"> </w:t>
      </w:r>
      <w:r>
        <w:t xml:space="preserve">Three levers should lift the implied take rate: migration of PM-software hosts to a</w:t>
      </w:r>
      <w:r>
        <w:t xml:space="preserve"> </w:t>
      </w:r>
      <w:r>
        <w:rPr>
          <w:b/>
          <w:bCs/>
        </w:rPr>
        <w:t xml:space="preserve">single 15.5% service fee</w:t>
      </w:r>
      <w:r>
        <w:t xml:space="preserve"> </w:t>
      </w:r>
      <w:r>
        <w:t xml:space="preserve">(&gt;25% of listings in Q1), a fast-growing</w:t>
      </w:r>
      <w:r>
        <w:t xml:space="preserve"> </w:t>
      </w:r>
      <w:r>
        <w:rPr>
          <w:b/>
          <w:bCs/>
        </w:rPr>
        <w:t xml:space="preserve">guest travel insurance</w:t>
      </w:r>
      <w:r>
        <w:t xml:space="preserve"> </w:t>
      </w:r>
      <w:r>
        <w:t xml:space="preserve">program (+45% Y/Y), and the</w:t>
      </w:r>
      <w:r>
        <w:t xml:space="preserve"> </w:t>
      </w:r>
      <w:r>
        <w:rPr>
          <w:b/>
          <w:bCs/>
        </w:rPr>
        <w:t xml:space="preserve">Delta miles</w:t>
      </w:r>
      <w:r>
        <w:t xml:space="preserve"> </w:t>
      </w:r>
      <w:r>
        <w:t xml:space="preserve">partnership (rev-share, framed as</w:t>
      </w:r>
      <w:r>
        <w:t xml:space="preserve"> </w:t>
      </w:r>
      <w:r>
        <w:rPr>
          <w:i/>
          <w:iCs/>
        </w:rPr>
        <w:t xml:space="preserve">not</w:t>
      </w:r>
      <w:r>
        <w:t xml:space="preserve"> </w:t>
      </w:r>
      <w:r>
        <w:t xml:space="preserve">dilutive to take rate). Management guided take rate "up slightly" — confirmation of that inflection is a positive.</w:t>
      </w:r>
    </w:p>
    <w:p>
      <w:pPr>
        <w:pStyle w:val="BodyText"/>
      </w:pPr>
      <w:r>
        <w:rPr>
          <w:b/>
          <w:bCs/>
        </w:rPr>
        <w:t xml:space="preserve">5. Reserve Now, Pay Later — tailwind now, comp headwind soon.</w:t>
      </w:r>
      <w:r>
        <w:t xml:space="preserve"> </w:t>
      </w:r>
      <w:r>
        <w:t xml:space="preserve">RNPL drove ~20% of global GBV in Q1 and adds a genuine booking lift, but it (a) pushes payments closer to stay dates, creating a</w:t>
      </w:r>
      <w:r>
        <w:t xml:space="preserve"> </w:t>
      </w:r>
      <w:r>
        <w:rPr>
          <w:b/>
          <w:bCs/>
        </w:rPr>
        <w:t xml:space="preserve">FCF/working-capital drag</w:t>
      </w:r>
      <w:r>
        <w:t xml:space="preserve"> </w:t>
      </w:r>
      <w:r>
        <w:t xml:space="preserve">(lower unearned fees in Q1/Q2, higher in Q3), and (b) creates</w:t>
      </w:r>
      <w:r>
        <w:t xml:space="preserve"> </w:t>
      </w:r>
      <w:r>
        <w:rPr>
          <w:b/>
          <w:bCs/>
        </w:rPr>
        <w:t xml:space="preserve">tougher comps in H2</w:t>
      </w:r>
      <w:r>
        <w:t xml:space="preserve"> </w:t>
      </w:r>
      <w:r>
        <w:t xml:space="preserve">as it laps its 2025 rollout. Free cash flow optics may look softer than earnings — that's mechanical, not fundamental.</w:t>
      </w:r>
    </w:p>
    <w:p>
      <w:pPr>
        <w:pStyle w:val="BodyText"/>
      </w:pPr>
      <w:r>
        <w:rPr>
          <w:b/>
          <w:bCs/>
        </w:rPr>
        <w:t xml:space="preserve">6. Margins and the reinvestment question.</w:t>
      </w:r>
      <w:r>
        <w:t xml:space="preserve"> </w:t>
      </w:r>
      <w:r>
        <w:t xml:space="preserve">Q2 EBITDA is guided merely "up Y/Y" off a 34% base — a deceleration in margin expansion as sales &amp; marketing ramps (S&amp;M was +33% Y/Y in Q1). The AI cost story is the offset: cost-per-booking down ~10% Y/Y and 40%+ of support issues self-resolved. The tension the market will judge: is reinvestment funding durable growth, or masking margin pressure?</w:t>
      </w:r>
    </w:p>
    <w:p>
      <w:r>
        <w:pict>
          <v:rect style="width:0;height:1.5pt" o:hralign="center" o:hrstd="t" o:hr="t"/>
        </w:pict>
      </w:r>
    </w:p>
    <w:bookmarkEnd w:id="12"/>
    <w:bookmarkStart w:id="13" w:name="other-things-to-keep-on-the-radar"/>
    <w:p>
      <w:pPr>
        <w:pStyle w:val="Heading2"/>
      </w:pPr>
      <w:r>
        <w:t xml:space="preserve">Other things to keep on the radar</w:t>
      </w:r>
    </w:p>
    <w:p>
      <w:pPr>
        <w:pStyle w:val="Compact"/>
        <w:numPr>
          <w:ilvl w:val="0"/>
          <w:numId w:val="1001"/>
        </w:numPr>
      </w:pPr>
      <w:r>
        <w:rPr>
          <w:b/>
          <w:bCs/>
        </w:rPr>
        <w:t xml:space="preserve">Capital returns:</w:t>
      </w:r>
      <w:r>
        <w:t xml:space="preserve"> </w:t>
      </w:r>
      <m:oMath>
        <m:r>
          <m:t>1.1</m:t>
        </m:r>
        <m:r>
          <m:t>B</m:t>
        </m:r>
        <m:r>
          <m:t>r</m:t>
        </m:r>
        <m:r>
          <m:t>e</m:t>
        </m:r>
        <m:r>
          <m:t>p</m:t>
        </m:r>
        <m:r>
          <m:t>u</m:t>
        </m:r>
        <m:r>
          <m:t>r</m:t>
        </m:r>
        <m:r>
          <m:t>c</m:t>
        </m:r>
        <m:r>
          <m:t>h</m:t>
        </m:r>
        <m:r>
          <m:t>a</m:t>
        </m:r>
        <m:r>
          <m:t>s</m:t>
        </m:r>
        <m:r>
          <m:t>e</m:t>
        </m:r>
        <m:r>
          <m:t>d</m:t>
        </m:r>
        <m:r>
          <m:t>i</m:t>
        </m:r>
        <m:r>
          <m:t>n</m:t>
        </m:r>
        <m:r>
          <m:t>Q</m:t>
        </m:r>
        <m:r>
          <m:t>1</m:t>
        </m:r>
        <m:r>
          <m:rPr>
            <m:sty m:val="p"/>
          </m:rPr>
          <m:t>;</m:t>
        </m:r>
        <m:r>
          <m:rPr>
            <m:sty m:val="p"/>
          </m:rPr>
          <m:t>*</m:t>
        </m:r>
        <m:r>
          <m:rPr>
            <m:sty m:val="p"/>
          </m:rPr>
          <m:t>*</m:t>
        </m:r>
      </m:oMath>
      <w:r>
        <w:t xml:space="preserve">4.5B remaining authorization**. Newly investment-grade (A-/Baa1) with a $2.5B bond deal done. Buyback pace is a lever if the stock stays range-bound.</w:t>
      </w:r>
    </w:p>
    <w:p>
      <w:pPr>
        <w:pStyle w:val="Compact"/>
        <w:numPr>
          <w:ilvl w:val="0"/>
          <w:numId w:val="1001"/>
        </w:numPr>
      </w:pPr>
      <w:r>
        <w:rPr>
          <w:b/>
          <w:bCs/>
        </w:rPr>
        <w:t xml:space="preserve">Insider selling:</w:t>
      </w:r>
      <w:r>
        <w:t xml:space="preserve"> </w:t>
      </w:r>
      <w:r>
        <w:t xml:space="preserve">A cluster of Form 144/sale filings in late July–early August — notably co-founder</w:t>
      </w:r>
      <w:r>
        <w:t xml:space="preserve"> </w:t>
      </w:r>
      <w:r>
        <w:rPr>
          <w:b/>
          <w:bCs/>
        </w:rPr>
        <w:t xml:space="preserve">Joe Gebbia (~$234M intended sale)</w:t>
      </w:r>
      <w:r>
        <w:t xml:space="preserve">, Nathan Blecharczyk, and CFO Ellie Mertz. These appear largely planned (10b5-1) but will draw headlines; worth confirming they're programmatic rather than signal.</w:t>
      </w:r>
    </w:p>
    <w:p>
      <w:pPr>
        <w:pStyle w:val="Compact"/>
        <w:numPr>
          <w:ilvl w:val="0"/>
          <w:numId w:val="1001"/>
        </w:numPr>
      </w:pPr>
      <w:r>
        <w:rPr>
          <w:b/>
          <w:bCs/>
        </w:rPr>
        <w:t xml:space="preserve">FX:</w:t>
      </w:r>
      <w:r>
        <w:t xml:space="preserve"> </w:t>
      </w:r>
      <w:r>
        <w:t xml:space="preserve">~3% tailwind to Q2 revenue, but the ADR FX benefit is guided to be</w:t>
      </w:r>
      <w:r>
        <w:t xml:space="preserve"> </w:t>
      </w:r>
      <w:r>
        <w:rPr>
          <w:b/>
          <w:bCs/>
        </w:rPr>
        <w:t xml:space="preserve">much smaller than Q1</w:t>
      </w:r>
      <w:r>
        <w:t xml:space="preserve"> </w:t>
      </w:r>
      <w:r>
        <w:t xml:space="preserve">— so watch ex-FX ADR (was +4% in Q1) as the cleaner read on pricing power.</w:t>
      </w:r>
    </w:p>
    <w:p>
      <w:r>
        <w:pict>
          <v:rect style="width:0;height:1.5pt" o:hralign="center" o:hrstd="t" o:hr="t"/>
        </w:pict>
      </w:r>
    </w:p>
    <w:bookmarkEnd w:id="13"/>
    <w:bookmarkStart w:id="14" w:name="positioning--the-stock"/>
    <w:p>
      <w:pPr>
        <w:pStyle w:val="Heading2"/>
      </w:pPr>
      <w:r>
        <w:t xml:space="preserve">Positioning &amp; the stock</w:t>
      </w:r>
    </w:p>
    <w:p>
      <w:pPr>
        <w:pStyle w:val="FirstParagraph"/>
      </w:pPr>
      <w:r>
        <w:t xml:space="preserve">ABNB closed around **</w:t>
      </w:r>
      <m:oMath>
        <m:r>
          <m:t>152</m:t>
        </m:r>
        <m:r>
          <m:rPr>
            <m:sty m:val="p"/>
          </m:rPr>
          <m:t>*</m:t>
        </m:r>
        <m:r>
          <m:rPr>
            <m:sty m:val="p"/>
          </m:rPr>
          <m:t>*</m:t>
        </m:r>
        <m:r>
          <m:t>o</m:t>
        </m:r>
        <m:r>
          <m:t>n</m:t>
        </m:r>
        <m:r>
          <m:t>A</m:t>
        </m:r>
        <m:r>
          <m:t>u</m:t>
        </m:r>
        <m:r>
          <m:t>g</m:t>
        </m:r>
        <m:r>
          <m:t>5</m:t>
        </m:r>
        <m:r>
          <m:rPr>
            <m:sty m:val="p"/>
          </m:rPr>
          <m:t>,</m:t>
        </m:r>
        <m:r>
          <m:t>u</m:t>
        </m:r>
        <m:r>
          <m:t>p</m:t>
        </m:r>
        <m:r>
          <m:t>r</m:t>
        </m:r>
        <m:r>
          <m:t>o</m:t>
        </m:r>
        <m:r>
          <m:t>u</m:t>
        </m:r>
        <m:r>
          <m:t>g</m:t>
        </m:r>
        <m:r>
          <m:t>h</m:t>
        </m:r>
        <m:r>
          <m:t>l</m:t>
        </m:r>
        <m:r>
          <m:t>y</m:t>
        </m:r>
        <m:r>
          <m:rPr>
            <m:sty m:val="p"/>
          </m:rPr>
          <m:t>*</m:t>
        </m:r>
        <m:r>
          <m:rPr>
            <m:sty m:val="p"/>
          </m:rPr>
          <m:t>*</m:t>
        </m:r>
        <m:r>
          <m:t>15</m:t>
        </m:r>
      </m:oMath>
      <w:r>
        <w:t xml:space="preserve">138 on 7/23), rallying alongside travel peers into earnings. That recovery means expectations have firmed — a simple in-line print against a raised full-year bar may not be enough to move it higher, especially with peers (Booking, Uber) selling off recently on cautious guides despite solid results.</w:t>
      </w:r>
    </w:p>
    <w:p>
      <w:r>
        <w:pict>
          <v:rect style="width:0;height:1.5pt" o:hralign="center" o:hrstd="t" o:hr="t"/>
        </w:pict>
      </w:r>
    </w:p>
    <w:bookmarkEnd w:id="14"/>
    <w:bookmarkStart w:id="15" w:name="bottom-line--scorecard-for-the-print"/>
    <w:p>
      <w:pPr>
        <w:pStyle w:val="Heading2"/>
      </w:pPr>
      <w:r>
        <w:t xml:space="preserve">Bottom line — scorecard for the print</w:t>
      </w:r>
    </w:p>
    <w:p>
      <w:pPr>
        <w:pStyle w:val="FirstParagraph"/>
      </w:pPr>
      <w:r>
        <w:rPr>
          <w:b/>
          <w:bCs/>
        </w:rPr>
        <w:t xml:space="preserve">Bullish if:</w:t>
      </w:r>
      <w:r>
        <w:t xml:space="preserve"> </w:t>
      </w:r>
      <w:r>
        <w:t xml:space="preserve">revenue prints at/above the high end (~$3.60B, +16%), nights growth decelerates only modestly, take rate steps up on the fee/insurance levers, World Cup + Summer Release show early traction, and management</w:t>
      </w:r>
      <w:r>
        <w:t xml:space="preserve"> </w:t>
      </w:r>
      <w:r>
        <w:rPr>
          <w:b/>
          <w:bCs/>
        </w:rPr>
        <w:t xml:space="preserve">raises the full-year again</w:t>
      </w:r>
      <w:r>
        <w:t xml:space="preserve">.</w:t>
      </w:r>
    </w:p>
    <w:p>
      <w:pPr>
        <w:pStyle w:val="BodyText"/>
      </w:pPr>
      <w:r>
        <w:rPr>
          <w:b/>
          <w:bCs/>
        </w:rPr>
        <w:t xml:space="preserve">Bearish if:</w:t>
      </w:r>
      <w:r>
        <w:t xml:space="preserve"> </w:t>
      </w:r>
      <w:r>
        <w:t xml:space="preserve">nights growth undershoots (macro/Middle East worse than the ~100bps flagged), ADR softens ex-FX, EBITDA margin guidance disappoints as S&amp;M ramps, or Q3 guidance is cautious into the tougher RNPL comps — a Booking/Uber-style "good quarter, soft guide" reaction.</w:t>
      </w:r>
    </w:p>
    <w:p>
      <w:pPr>
        <w:pStyle w:val="BodyText"/>
      </w:pPr>
      <w:r>
        <w:t xml:space="preserve">The debate that decides the reaction:</w:t>
      </w:r>
      <w:r>
        <w:t xml:space="preserve"> </w:t>
      </w:r>
      <w:r>
        <w:rPr>
          <w:b/>
          <w:bCs/>
        </w:rPr>
        <w:t xml:space="preserve">is Airbnb's re-acceleration (product velocity, monetization, new categories, World Cup) strong enough to outrun a deteriorating consumer/geopolitical backdrop that's already pressuring travel peers?</w:t>
      </w:r>
    </w:p>
    <w:p>
      <w:r>
        <w:pict>
          <v:rect style="width:0;height:1.5pt" o:hralign="center" o:hrstd="t" o:hr="t"/>
        </w:pict>
      </w:r>
    </w:p>
    <w:p>
      <w:pPr>
        <w:pStyle w:val="FirstParagraph"/>
      </w:pPr>
      <w:r>
        <w:rPr>
          <w:i/>
          <w:iCs/>
        </w:rPr>
        <w:t xml:space="preserve">Preview based on Airbnb's Q1 2026 shareholder letter and earnings call (May 7, 2026), the Q2/FY26 guidance therein, recent price action, and current travel-sector/macro news. Figures are company-reported or company-guided; verify against consensus estimates from your data provider, as I could not pull a live sell-side consensus. Not investment advice.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2026-08-06T01:17:52Z</dcterms:created>
  <dcterms:modified xsi:type="dcterms:W3CDTF">2026-08-06T01:17:52Z</dcterms:modified>
</cp:coreProperties>
</file>

<file path=docProps/custom.xml><?xml version="1.0" encoding="utf-8"?>
<Properties xmlns="http://schemas.openxmlformats.org/officeDocument/2006/custom-properties" xmlns:vt="http://schemas.openxmlformats.org/officeDocument/2006/docPropsVTypes"/>
</file>