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nb-earnings-predictions--2026-08-06"/>
    <w:p>
      <w:pPr>
        <w:pStyle w:val="Heading1"/>
      </w:pPr>
      <w:r>
        <w:t xml:space="preserve">ABNB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~$3.63B vs. cons $3.58B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GAAP/Adjusted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~$1.18 vs. cons $1.23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Gross Booking Value (GBV)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~$26.7B vs. cons $26.4B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 (World Cup ramp)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~$4.30B vs. cons $4.18B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Nights &amp; Seats Booked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~10-11% Y/Y vs. cons ~9% Y/Y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~35% vs. cons ~35%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-2.8% (FADE)</w:t>
            </w:r>
          </w:p>
        </w:tc>
        <w:tc>
          <w:tcPr/>
          <w:p>
            <w:pPr>
              <w:pStyle w:val="Compact"/>
            </w:pPr>
            <w:r>
              <w:t xml:space="preserve">Stock already ran hard into the print (52-week highs, PT hikes), so even a revenue/GBV beat is largely priced in, while the recurring EPS-miss pattern (heavy reinvestment/SBC) and the fact that the true World Cup P&amp;L benefit shifts into Q3 guidance rather than Q2 actuals leaves little immediate upside catalyst; as sell-side models tougher 2H comps (RNPL anniversary, Middle East drag) into out-quarters, estimate revisions likely trim post-print, fading an initial pop.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2026-08-06T01:17:35Z</dcterms:created>
  <dcterms:modified xsi:type="dcterms:W3CDTF">2026-08-06T01:17:35Z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