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information to write a comprehensive earnings preview. Let me check one more item — competitor read-throughs (Booking Holdings, Expedia) that reported recently, for context.# Airbnb (ABNB) Q2 2026 Earnings Preview</w:t>
      </w:r>
      <w:r>
        <w:t xml:space="preserve"> </w:t>
      </w:r>
      <w:r>
        <w:rPr>
          <w:b/>
          <w:bCs/>
        </w:rPr>
        <w:t xml:space="preserve">Report Date:</w:t>
      </w:r>
      <w:r>
        <w:t xml:space="preserve"> </w:t>
      </w:r>
      <w:r>
        <w:t xml:space="preserve">August 6, 2026 (after market close) |</w:t>
      </w:r>
      <w:r>
        <w:t xml:space="preserve"> </w:t>
      </w:r>
      <w:r>
        <w:rPr>
          <w:b/>
          <w:bCs/>
        </w:rPr>
        <w:t xml:space="preserve">Call Time:</w:t>
      </w:r>
      <w:r>
        <w:t xml:space="preserve"> </w:t>
      </w:r>
      <w:r>
        <w:t xml:space="preserve">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Airbnb enters tomorrow's print with the stock near 52-week highs and strong momentum. Shares have run from roughly $140 at the time of the Q1 print (May 7) to over $150 currently, and are up sharply in the last two weeks of July — a rally that has coincided with sell-side price-target increases (Goldman Sachs raised its target to $170; CICC initiated at $165 with an "outperform" rating). The average analyst price target sits around $158, implying modest upside from current levels, with a "Moderate Buy" consensus (roughly 18 Strong Buy / 3 Moderate Buy / 18 Hold / 2 Sell ratings across ~41 analysts).</w:t>
      </w:r>
    </w:p>
    <w:p>
      <w:pPr>
        <w:pStyle w:val="BodyText"/>
      </w:pPr>
      <w:r>
        <w:t xml:space="preserve">That said, the setup is not risk-free: Airbnb has a mixed record against Street EPS estimates recently (missing in three of the last four quarters, including a $0.26 vs. $0.31 miss in Q1 2026), even as revenue has consistently beaten. Investors should watch whether the "beat on revenue, miss on EPS" pattern (driven by heavy reinvestment/stock-based comp) repeats.</w:t>
      </w:r>
    </w:p>
    <w:p>
      <w:pPr>
        <w:pStyle w:val="BodyText"/>
      </w:pPr>
      <w:r>
        <w:rPr>
          <w:b/>
          <w:bCs/>
        </w:rPr>
        <w:t xml:space="preserve">Consensus estimates for Q2 2026:</w:t>
      </w:r>
    </w:p>
    <w:p>
      <w:pPr>
        <w:pStyle w:val="Compact"/>
        <w:numPr>
          <w:ilvl w:val="0"/>
          <w:numId w:val="1001"/>
        </w:numPr>
      </w:pPr>
      <w:r>
        <w:rPr>
          <w:b/>
          <w:bCs/>
        </w:rPr>
        <w:t xml:space="preserve">EPS:</w:t>
      </w:r>
      <w:r>
        <w:t xml:space="preserve"> </w:t>
      </w:r>
      <w:r>
        <w:t xml:space="preserve">~</w:t>
      </w:r>
      <m:oMath>
        <m:r>
          <m:t>1.20</m:t>
        </m:r>
        <m:r>
          <m:rPr>
            <m:sty m:val="p"/>
          </m:rPr>
          <m:t>–</m:t>
        </m:r>
      </m:oMath>
      <w:r>
        <w:t xml:space="preserve">1.26 (vs. $1.03 a year ago, +~16-17% Y/Y)</w:t>
      </w:r>
    </w:p>
    <w:p>
      <w:pPr>
        <w:pStyle w:val="Compact"/>
        <w:numPr>
          <w:ilvl w:val="0"/>
          <w:numId w:val="1001"/>
        </w:numPr>
      </w:pPr>
      <w:r>
        <w:rPr>
          <w:b/>
          <w:bCs/>
        </w:rPr>
        <w:t xml:space="preserve">Revenue:</w:t>
      </w:r>
      <w:r>
        <w:t xml:space="preserve"> </w:t>
      </w:r>
      <w:r>
        <w:t xml:space="preserve">~$3.58 billion (+~15.6% Y/Y)</w:t>
      </w:r>
    </w:p>
    <w:p>
      <w:pPr>
        <w:pStyle w:val="Compact"/>
        <w:numPr>
          <w:ilvl w:val="0"/>
          <w:numId w:val="1001"/>
        </w:numPr>
      </w:pPr>
      <w:r>
        <w:rPr>
          <w:b/>
          <w:bCs/>
        </w:rPr>
        <w:t xml:space="preserve">GBV:</w:t>
      </w:r>
      <w:r>
        <w:t xml:space="preserve"> </w:t>
      </w:r>
      <w:r>
        <w:t xml:space="preserve">~$26.4 billion (vs. $23.5B a year ago)</w:t>
      </w:r>
    </w:p>
    <w:p>
      <w:r>
        <w:pict>
          <v:rect style="width:0;height:1.5pt" o:hralign="center" o:hrstd="t" o:hr="t"/>
        </w:pict>
      </w:r>
    </w:p>
    <w:bookmarkEnd w:id="9"/>
    <w:bookmarkStart w:id="10" w:name="what-management-guided-to-last-quarter"/>
    <w:p>
      <w:pPr>
        <w:pStyle w:val="Heading2"/>
      </w:pPr>
      <w:r>
        <w:t xml:space="preserve">What Management Guided To Last Quarter</w:t>
      </w:r>
    </w:p>
    <w:p>
      <w:pPr>
        <w:pStyle w:val="FirstParagraph"/>
      </w:pPr>
      <w:r>
        <w:t xml:space="preserve">Airbnb's Q1 2026 results were strong and guidance was raised. Revenue grew 18% Y/Y to $2.7 billion, beating the high end of guidance, while GBV grew 19% Y/Y to $29.2 billion and Nights and Seats Booked grew 9% Y/Y (management said growth would have been ~10% absent an estimated 100bps headwind from Middle East conflict-related cancellations). Adjusted EBITDA of $519 million grew 24% Y/Y (19% margin), and free cash flow was $1.7 billion.</w:t>
      </w:r>
    </w:p>
    <w:p>
      <w:pPr>
        <w:pStyle w:val="BodyText"/>
      </w:pPr>
      <w:r>
        <w:t xml:space="preserve">For</w:t>
      </w:r>
      <w:r>
        <w:t xml:space="preserve"> </w:t>
      </w:r>
      <w:r>
        <w:rPr>
          <w:b/>
          <w:bCs/>
        </w:rPr>
        <w:t xml:space="preserve">Q2 2026</w:t>
      </w:r>
      <w:r>
        <w:t xml:space="preserve">, management's specific guidance was:</w:t>
      </w:r>
    </w:p>
    <w:p>
      <w:pPr>
        <w:pStyle w:val="Compact"/>
        <w:numPr>
          <w:ilvl w:val="0"/>
          <w:numId w:val="1002"/>
        </w:numPr>
      </w:pPr>
      <w:r>
        <w:rPr>
          <w:b/>
          <w:bCs/>
        </w:rPr>
        <w:t xml:space="preserve">Revenue:</w:t>
      </w:r>
      <w:r>
        <w:t xml:space="preserve"> </w:t>
      </w:r>
      <m:oMath>
        <m:r>
          <m:t>3.54</m:t>
        </m:r>
        <m:r>
          <m:rPr>
            <m:sty m:val="p"/>
          </m:rPr>
          <m:t>–</m:t>
        </m:r>
      </m:oMath>
      <w:r>
        <w:t xml:space="preserve">3.60 billion, representing 14–16% Y/Y growth, including an ~3% FX tailwind</w:t>
      </w:r>
    </w:p>
    <w:p>
      <w:pPr>
        <w:pStyle w:val="Compact"/>
        <w:numPr>
          <w:ilvl w:val="0"/>
          <w:numId w:val="1002"/>
        </w:numPr>
      </w:pPr>
      <w:r>
        <w:rPr>
          <w:b/>
          <w:bCs/>
        </w:rPr>
        <w:t xml:space="preserve">GBV:</w:t>
      </w:r>
      <w:r>
        <w:t xml:space="preserve"> </w:t>
      </w:r>
      <w:r>
        <w:t xml:space="preserve">low-double-digit Y/Y growth, driven by Nights/Seats growth and a moderate ADR increase (with FX tailwind to ADR "significantly lower" than in Q1)</w:t>
      </w:r>
    </w:p>
    <w:p>
      <w:pPr>
        <w:pStyle w:val="Compact"/>
        <w:numPr>
          <w:ilvl w:val="0"/>
          <w:numId w:val="1002"/>
        </w:numPr>
      </w:pPr>
      <w:r>
        <w:rPr>
          <w:b/>
          <w:bCs/>
        </w:rPr>
        <w:t xml:space="preserve">Nights and Seats Booked:</w:t>
      </w:r>
      <w:r>
        <w:t xml:space="preserve"> </w:t>
      </w:r>
      <w:r>
        <w:t xml:space="preserve">growth expected to decelerate slightly versus Q1's 9%, assuming a continued ~100bps Middle East conflict headwind</w:t>
      </w:r>
    </w:p>
    <w:p>
      <w:pPr>
        <w:pStyle w:val="Compact"/>
        <w:numPr>
          <w:ilvl w:val="0"/>
          <w:numId w:val="1002"/>
        </w:numPr>
      </w:pPr>
      <w:r>
        <w:rPr>
          <w:b/>
          <w:bCs/>
        </w:rPr>
        <w:t xml:space="preserve">Adjusted EBITDA / margin:</w:t>
      </w:r>
      <w:r>
        <w:t xml:space="preserve"> </w:t>
      </w:r>
      <w:r>
        <w:t xml:space="preserve">both expected up Y/Y</w:t>
      </w:r>
    </w:p>
    <w:p>
      <w:pPr>
        <w:pStyle w:val="FirstParagraph"/>
      </w:pPr>
      <w:r>
        <w:t xml:space="preserve">For</w:t>
      </w:r>
      <w:r>
        <w:t xml:space="preserve"> </w:t>
      </w:r>
      <w:r>
        <w:rPr>
          <w:b/>
          <w:bCs/>
        </w:rPr>
        <w:t xml:space="preserve">full-year 2026</w:t>
      </w:r>
      <w:r>
        <w:t xml:space="preserve">, Airbnb raised guidance to expect revenue growth accelerating to</w:t>
      </w:r>
      <w:r>
        <w:t xml:space="preserve"> </w:t>
      </w:r>
      <w:r>
        <w:rPr>
          <w:b/>
          <w:bCs/>
        </w:rPr>
        <w:t xml:space="preserve">low-to-mid teens</w:t>
      </w:r>
      <w:r>
        <w:t xml:space="preserve"> </w:t>
      </w:r>
      <w:r>
        <w:t xml:space="preserve">and Adjusted EBITDA margin of</w:t>
      </w:r>
      <w:r>
        <w:t xml:space="preserve"> </w:t>
      </w:r>
      <w:r>
        <w:rPr>
          <w:b/>
          <w:bCs/>
        </w:rPr>
        <w:t xml:space="preserve">at least 35%</w:t>
      </w:r>
      <w:r>
        <w:t xml:space="preserve">, while flagging tougher back-half comps against 2025's Reserve Now, Pay Later (RNPL) rollout and ongoing Middle East-related headwinds.</w:t>
      </w:r>
    </w:p>
    <w:p>
      <w:r>
        <w:pict>
          <v:rect style="width:0;height:1.5pt" o:hralign="center" o:hrstd="t" o:hr="t"/>
        </w:pict>
      </w:r>
    </w:p>
    <w:bookmarkEnd w:id="10"/>
    <w:bookmarkStart w:id="19" w:name="key-themes-to-watch-on-the-call"/>
    <w:p>
      <w:pPr>
        <w:pStyle w:val="Heading2"/>
      </w:pPr>
      <w:r>
        <w:t xml:space="preserve">Key Themes to Watch on the Call</w:t>
      </w:r>
    </w:p>
    <w:bookmarkStart w:id="11" w:name="Xb08bed5b5a08e946c2f10f5e22b55039f0362ed"/>
    <w:p>
      <w:pPr>
        <w:pStyle w:val="Heading3"/>
      </w:pPr>
      <w:r>
        <w:t xml:space="preserve">1. Nights &amp; Seats Booked growth trajectory / Middle East drag</w:t>
      </w:r>
    </w:p>
    <w:p>
      <w:pPr>
        <w:pStyle w:val="FirstParagraph"/>
      </w:pPr>
      <w:r>
        <w:t xml:space="preserve">Q1 saw nights growth decelerate slightly in March due to conflict-related cancellations in EMEA/APAC. Management guided for a further slight deceleration in Q2 with a similar ~100bps drag. Investors will want to see whether this headwind is stable, worsening, or fading, and whether underlying (ex-conflict) demand — which ran ~10% in Q1 — held up.</w:t>
      </w:r>
    </w:p>
    <w:bookmarkEnd w:id="11"/>
    <w:bookmarkStart w:id="12" w:name="X4dafe0027f9b5f4aee15ef7790f68e02a8e9801"/>
    <w:p>
      <w:pPr>
        <w:pStyle w:val="Heading3"/>
      </w:pPr>
      <w:r>
        <w:t xml:space="preserve">2. Monetization: take rate, RNPL, and the single-fee migration</w:t>
      </w:r>
    </w:p>
    <w:p>
      <w:pPr>
        <w:pStyle w:val="FirstParagraph"/>
      </w:pPr>
      <w:r>
        <w:t xml:space="preserve">Roughly 20% of global GBV in Q1 came from Reserve Now, Pay Later bookings, and management called out a modest lift to full-year take rate from the migration to a simplified single service fee (currently ~15.5% for most hosts, expanding beyond the initial API/property-manager host cohort) plus growth in the guest travel insurance product (revenue from insurance grew 45% Y/Y in Q1). Watch for updated take-rate commentary and whether RNPL's mix-shift (longer lead times, higher-priced homes, elevated cancellation-but-net-positive bookings) is still a tailwind or becoming a tougher comp as the 2025 U.S. launch anniversary approaches.</w:t>
      </w:r>
    </w:p>
    <w:bookmarkEnd w:id="12"/>
    <w:bookmarkStart w:id="13" w:name="Xccd8fb9236aa0a67adfc5b91a3ca3a2c37b1101"/>
    <w:p>
      <w:pPr>
        <w:pStyle w:val="Heading3"/>
      </w:pPr>
      <w:r>
        <w:t xml:space="preserve">3. FIFA World Cup 2026 ramp</w:t>
      </w:r>
    </w:p>
    <w:p>
      <w:pPr>
        <w:pStyle w:val="FirstParagraph"/>
      </w:pPr>
      <w:r>
        <w:t xml:space="preserve">The World Cup (this summer) is expected to be the largest event in Airbnb's history, spanning parts of Q2 and Q3. Over 100,000 homes across the 16 host cities had listed for the first time as of the Q1 call. Investors should look for updated booking/supply data, since management noted historically that most event-related bookings materialize close to the games — meaning the true P&amp;L benefit may show up more in Q3 guidance than in Q2 actuals. Airbnb has also published World Cup travel-trend data (top host cities like Los Angeles, family booking patterns, price points under $500/night), useful context for gauging demand strength.</w:t>
      </w:r>
    </w:p>
    <w:bookmarkEnd w:id="13"/>
    <w:bookmarkStart w:id="14" w:name="Xeb7443d91ac373b096fb950e482b0520ee17af7"/>
    <w:p>
      <w:pPr>
        <w:pStyle w:val="Heading3"/>
      </w:pPr>
      <w:r>
        <w:t xml:space="preserve">4. AI-driven cost efficiency and product roadmap</w:t>
      </w:r>
    </w:p>
    <w:p>
      <w:pPr>
        <w:pStyle w:val="FirstParagraph"/>
      </w:pPr>
      <w:r>
        <w:t xml:space="preserve">Nearly 60% of Airbnb's code is now AI-co-authored, and over 40% of customer support contacts are resolved by AI without a human agent (up from ~1/3 in Q4 2025), contributing to a ~10% Y/Y reduction in cost-per-booking in Q1. Continued progress here supports margin durability even as the company reinvests in marketing, international expansion, and AI.</w:t>
      </w:r>
    </w:p>
    <w:bookmarkEnd w:id="14"/>
    <w:bookmarkStart w:id="15" w:name="X47115e6338832b368109fa668836c940149b9ef"/>
    <w:p>
      <w:pPr>
        <w:pStyle w:val="Heading3"/>
      </w:pPr>
      <w:r>
        <w:t xml:space="preserve">5. Category expansion: hotels, services, experiences</w:t>
      </w:r>
    </w:p>
    <w:p>
      <w:pPr>
        <w:pStyle w:val="FirstParagraph"/>
      </w:pPr>
      <w:r>
        <w:t xml:space="preserve">Following the May 20 "Summer Release," watch for updated metrics on the boutique/independent hotel pilot (previously a low-single-digit % of nights but growing more than 2x the core business), Experiences/Services traction as a "demand flywheel" (nearly 1/4 of new-to-Airbnb experience bookers go on to book a stay), and the expanded Delta Air Lines partnership (miles-earning on stays/experiences/services).</w:t>
      </w:r>
    </w:p>
    <w:bookmarkEnd w:id="15"/>
    <w:bookmarkStart w:id="16" w:name="Xd691d6964cf132e38c92ff7e669d51ee65f774d"/>
    <w:p>
      <w:pPr>
        <w:pStyle w:val="Heading3"/>
      </w:pPr>
      <w:r>
        <w:t xml:space="preserve">6. International expansion momentum</w:t>
      </w:r>
    </w:p>
    <w:p>
      <w:pPr>
        <w:pStyle w:val="FirstParagraph"/>
      </w:pPr>
      <w:r>
        <w:t xml:space="preserve">Brazil, Japan, and India have been standout expansion markets — India origin nights grew ~50% Y/Y for two straight quarters and Brazil origin nights grew over 20% for a third consecutive quarter in Q1. First-time booker growth (10% in Q1, the fastest since 2022) is a key underlying-demand signal to track.</w:t>
      </w:r>
    </w:p>
    <w:bookmarkEnd w:id="16"/>
    <w:bookmarkStart w:id="17" w:name="Xd992481744414a0e490d38357f47cd0009364d2"/>
    <w:p>
      <w:pPr>
        <w:pStyle w:val="Heading3"/>
      </w:pPr>
      <w:r>
        <w:t xml:space="preserve">7. Capital allocation and balance sheet</w:t>
      </w:r>
    </w:p>
    <w:p>
      <w:pPr>
        <w:pStyle w:val="FirstParagraph"/>
      </w:pPr>
      <w:r>
        <w:t xml:space="preserve">Airbnb repurchased $1.1 billion of stock in Q1 (with $4.5 billion still authorized), obtained inaugural investment-grade ratings (A- from S&amp;P, Baa1 from Moody's), and issued $2.5 billion of senior unsecured debt to refinance maturing convertible notes. Expect continued buyback activity and commentary on capital priorities (organic growth, M&amp;A/partnerships, then buybacks, in that order).</w:t>
      </w:r>
    </w:p>
    <w:bookmarkEnd w:id="17"/>
    <w:bookmarkStart w:id="18" w:name="Xbd237c1183f6dd0526c292a91d1e18169644833"/>
    <w:p>
      <w:pPr>
        <w:pStyle w:val="Heading3"/>
      </w:pPr>
      <w:r>
        <w:t xml:space="preserve">8. Insider selling</w:t>
      </w:r>
    </w:p>
    <w:p>
      <w:pPr>
        <w:pStyle w:val="FirstParagraph"/>
      </w:pPr>
      <w:r>
        <w:t xml:space="preserve">Several insiders have filed to sell in the days ahead of earnings, including co-founder Joe Gebbia's ~$234 million filed sale (July 28), plus smaller planned sales from CFO Elinor Mertz and co-founder Nathan Blecharczyk. These appear to be pre-scheduled (10b5-1 style) sales rather than a fresh signal, but the size of the Gebbia filing is notable and worth watching for any follow-on context on the call or in filings.</w:t>
      </w:r>
    </w:p>
    <w:p>
      <w:r>
        <w:pict>
          <v:rect style="width:0;height:1.5pt" o:hralign="center" o:hrstd="t" o:hr="t"/>
        </w:pict>
      </w:r>
    </w:p>
    <w:bookmarkEnd w:id="18"/>
    <w:bookmarkEnd w:id="19"/>
    <w:bookmarkStart w:id="20" w:name="read-throughs-from-peers"/>
    <w:p>
      <w:pPr>
        <w:pStyle w:val="Heading2"/>
      </w:pPr>
      <w:r>
        <w:t xml:space="preserve">Read-Throughs From Peers</w:t>
      </w:r>
    </w:p>
    <w:p>
      <w:pPr>
        <w:pStyle w:val="FirstParagraph"/>
      </w:pPr>
      <w:r>
        <w:t xml:space="preserve">Booking Holdings' most recent guidance pointed to a deceleration to single-digit constant-currency growth (room nights +2-4%, gross bookings +2-4% in constant currency for Q2), a more moderate travel-demand signal than Airbnb's mid-teens growth outlook — suggesting Airbnb continues to outgrow the broader OTA/travel complex, likely aided by its own product initiatives (app mix shift, RNPL, expansion markets) rather than pure industry tailwinds.</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Going into this print, the bar has been set fairly high by both management's raised full-year guidance and a stock that has already re-rated toward the high end of its 52-week range. The core debate for investors is likely to be: (1) whether Nights &amp; Seats Booked growth held up against the Middle East headwind and tougher RNPL comps, (2) whether take-rate/monetization initiatives (single fee, insurance) are lifting margins as promised, and (3) how much of the FIFA World Cup demand surge is visible yet in Q2 numbers vs. still to come in Q3 guidance. A "beat-and-raise" with clear World Cup-driven Q3 acceleration would likely be well received given the stock's momentum; a deceleration beyond guided levels or commentary suggesting the Middle East drag is worsening would be the key risk to watch.</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2026-08-06T01:17:35Z</dcterms:created>
  <dcterms:modified xsi:type="dcterms:W3CDTF">2026-08-06T01:17:35Z</dcterms:modified>
</cp:coreProperties>
</file>

<file path=docProps/custom.xml><?xml version="1.0" encoding="utf-8"?>
<Properties xmlns="http://schemas.openxmlformats.org/officeDocument/2006/custom-properties" xmlns:vt="http://schemas.openxmlformats.org/officeDocument/2006/docPropsVTypes"/>
</file>