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airbnb-abnb-q2-2026-earnings-preview"/>
    <w:p>
      <w:pPr>
        <w:pStyle w:val="Heading1"/>
      </w:pPr>
      <w:r>
        <w:t xml:space="preserve">Airbnb (ABNB) Q2 2026 Earnings Preview</w:t>
      </w:r>
    </w:p>
    <w:p>
      <w:pPr>
        <w:pStyle w:val="BlockText"/>
      </w:pPr>
      <w:r>
        <w:rPr>
          <w:b/>
          <w:bCs/>
        </w:rPr>
        <w:t xml:space="preserve">Timing note:</w:t>
      </w:r>
      <w:r>
        <w:t xml:space="preserve"> </w:t>
      </w:r>
      <w:r>
        <w:t xml:space="preserve">Airbnb is reporting</w:t>
      </w:r>
      <w:r>
        <w:t xml:space="preserve"> </w:t>
      </w:r>
      <w:r>
        <w:rPr>
          <w:b/>
          <w:bCs/>
        </w:rPr>
        <w:t xml:space="preserve">today, Thursday, August 6, 2026</w:t>
      </w:r>
      <w:r>
        <w:t xml:space="preserve">, after the market closes—not tomorrow. The earnings call begins at</w:t>
      </w:r>
      <w:r>
        <w:t xml:space="preserve"> </w:t>
      </w:r>
      <w:r>
        <w:rPr>
          <w:b/>
          <w:bCs/>
        </w:rPr>
        <w:t xml:space="preserve">5:00 p.m. ET</w:t>
      </w:r>
      <w:r>
        <w:t xml:space="preserve">. (</w:t>
      </w:r>
      <w:hyperlink r:id="rId9">
        <w:r>
          <w:rPr>
            <w:rStyle w:val="Hyperlink"/>
          </w:rPr>
          <w:t xml:space="preserve">investors.airbnb.com</w:t>
        </w:r>
      </w:hyperlink>
      <w:r>
        <w:t xml:space="preserve">)</w:t>
      </w:r>
    </w:p>
    <w:bookmarkStart w:id="10" w:name="executive-view"/>
    <w:p>
      <w:pPr>
        <w:pStyle w:val="Heading2"/>
      </w:pPr>
      <w:r>
        <w:t xml:space="preserve">Executive view</w:t>
      </w:r>
    </w:p>
    <w:p>
      <w:pPr>
        <w:pStyle w:val="FirstParagraph"/>
      </w:pPr>
      <w:r>
        <w:t xml:space="preserve">Airbnb enters Q2 earnings with strong momentum but a reasonably high bar. Q1 revenue, gross booking value, and adjusted EBITDA exceeded expectations, management raised its full-year outlook, and ABNB shares have risen roughly</w:t>
      </w:r>
      <w:r>
        <w:t xml:space="preserve"> </w:t>
      </w:r>
      <w:r>
        <w:rPr>
          <w:b/>
          <w:bCs/>
        </w:rPr>
        <w:t xml:space="preserve">15% year to date</w:t>
      </w:r>
      <w:r>
        <w:t xml:space="preserve"> </w:t>
      </w:r>
      <w:r>
        <w:t xml:space="preserve">through August 5.</w:t>
      </w:r>
    </w:p>
    <w:p>
      <w:pPr>
        <w:pStyle w:val="BodyText"/>
      </w:pPr>
      <w:r>
        <w:t xml:space="preserve">The key question is therefore not simply whether Airbnb beats the published Q2 revenue range. Investors will want evidence that:</w:t>
      </w:r>
    </w:p>
    <w:p>
      <w:pPr>
        <w:pStyle w:val="Compact"/>
        <w:numPr>
          <w:ilvl w:val="0"/>
          <w:numId w:val="1001"/>
        </w:numPr>
      </w:pPr>
      <w:r>
        <w:rPr>
          <w:b/>
          <w:bCs/>
        </w:rPr>
        <w:t xml:space="preserve">Underlying booking volume remains healthy</w:t>
      </w:r>
      <w:r>
        <w:t xml:space="preserve">, rather than revenue growth being driven mainly by FX, higher ADRs, and fee changes.</w:t>
      </w:r>
    </w:p>
    <w:p>
      <w:pPr>
        <w:pStyle w:val="Compact"/>
        <w:numPr>
          <w:ilvl w:val="0"/>
          <w:numId w:val="1001"/>
        </w:numPr>
      </w:pPr>
      <w:r>
        <w:rPr>
          <w:b/>
          <w:bCs/>
        </w:rPr>
        <w:t xml:space="preserve">Monetization initiatives are lifting take rate without hurting conversion.</w:t>
      </w:r>
    </w:p>
    <w:p>
      <w:pPr>
        <w:pStyle w:val="Compact"/>
        <w:numPr>
          <w:ilvl w:val="0"/>
          <w:numId w:val="1001"/>
        </w:numPr>
      </w:pPr>
      <w:r>
        <w:t xml:space="preserve">The FIFA World Cup, international expansion, hotels, and new services can support growth after Reserve Now, Pay Later begins facing tougher comparisons.</w:t>
      </w:r>
    </w:p>
    <w:p>
      <w:pPr>
        <w:pStyle w:val="Compact"/>
        <w:numPr>
          <w:ilvl w:val="0"/>
          <w:numId w:val="1001"/>
        </w:numPr>
      </w:pPr>
      <w:r>
        <w:t xml:space="preserve">Airbnb can fund these initiatives while maintaining its commitment to a</w:t>
      </w:r>
      <w:r>
        <w:t xml:space="preserve"> </w:t>
      </w:r>
      <w:r>
        <w:rPr>
          <w:b/>
          <w:bCs/>
        </w:rPr>
        <w:t xml:space="preserve">full-year adjusted EBITDA margin of at least 35%</w:t>
      </w:r>
      <w:r>
        <w:t xml:space="preserve">.</w:t>
      </w:r>
    </w:p>
    <w:p>
      <w:pPr>
        <w:pStyle w:val="FirstParagraph"/>
      </w:pPr>
      <w:r>
        <w:t xml:space="preserve">The</w:t>
      </w:r>
      <w:r>
        <w:t xml:space="preserve"> </w:t>
      </w:r>
      <w:r>
        <w:rPr>
          <w:b/>
          <w:bCs/>
        </w:rPr>
        <w:t xml:space="preserve">Q3 outlook and full-year commentary will probably matter more than the Q2 EPS number</w:t>
      </w:r>
      <w:r>
        <w:t xml:space="preserve">.</w:t>
      </w:r>
    </w:p>
    <w:p>
      <w:r>
        <w:pict>
          <v:rect style="width:0;height:1.5pt" o:hralign="center" o:hrstd="t" o:hr="t"/>
        </w:pict>
      </w:r>
    </w:p>
    <w:bookmarkEnd w:id="10"/>
    <w:bookmarkStart w:id="13" w:name="the-numbers-to-know"/>
    <w:p>
      <w:pPr>
        <w:pStyle w:val="Heading2"/>
      </w:pPr>
      <w:r>
        <w:t xml:space="preserve">The numbers to know</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2025</w:t>
            </w:r>
          </w:p>
        </w:tc>
        <w:tc>
          <w:tcPr/>
          <w:p>
            <w:pPr>
              <w:pStyle w:val="Compact"/>
              <w:jc w:val="right"/>
            </w:pPr>
            <w:r>
              <w:t xml:space="preserve">Q2 2026 benchmark</w:t>
            </w:r>
          </w:p>
        </w:tc>
      </w:tr>
      <w:tr>
        <w:tc>
          <w:tcPr/>
          <w:p>
            <w:pPr>
              <w:pStyle w:val="Compact"/>
            </w:pPr>
            <w:r>
              <w:t xml:space="preserve">Revenue</w:t>
            </w:r>
          </w:p>
        </w:tc>
        <w:tc>
          <w:tcPr/>
          <w:p>
            <w:pPr>
              <w:pStyle w:val="Compact"/>
              <w:jc w:val="right"/>
            </w:pPr>
            <w:r>
              <w:t xml:space="preserve">$3.096B</w:t>
            </w:r>
          </w:p>
        </w:tc>
        <w:tc>
          <w:tcPr/>
          <w:p>
            <w:pPr>
              <w:pStyle w:val="Compact"/>
              <w:jc w:val="right"/>
            </w:pPr>
            <w:r>
              <w:rPr>
                <w:b/>
                <w:bCs/>
              </w:rPr>
              <w:t xml:space="preserve">Street: approximately</w:t>
            </w:r>
            <w:r>
              <w:rPr>
                <w:b/>
                <w:bCs/>
              </w:rPr>
              <w:t xml:space="preserve"> </w:t>
            </w:r>
            <m:oMath>
              <m:r>
                <m:t>3.57</m:t>
              </m:r>
              <m:r>
                <m:t>B</m:t>
              </m:r>
              <m:r>
                <m:rPr>
                  <m:sty m:val="p"/>
                </m:rPr>
                <m:t>–</m:t>
              </m:r>
            </m:oMath>
            <w:r>
              <w:rPr>
                <w:b/>
                <w:bCs/>
              </w:rPr>
              <w:t xml:space="preserve">3.58B</w:t>
            </w:r>
          </w:p>
        </w:tc>
      </w:tr>
      <w:tr>
        <w:tc>
          <w:tcPr/>
          <w:p>
            <w:pPr>
              <w:pStyle w:val="Compact"/>
            </w:pPr>
            <w:r>
              <w:t xml:space="preserve">GAAP diluted EPS</w:t>
            </w:r>
          </w:p>
        </w:tc>
        <w:tc>
          <w:tcPr/>
          <w:p>
            <w:pPr>
              <w:pStyle w:val="Compact"/>
              <w:jc w:val="right"/>
            </w:pPr>
            <w:r>
              <w:t xml:space="preserve">$1.03</w:t>
            </w:r>
          </w:p>
        </w:tc>
        <w:tc>
          <w:tcPr/>
          <w:p>
            <w:pPr>
              <w:pStyle w:val="Compact"/>
              <w:jc w:val="right"/>
            </w:pPr>
            <w:r>
              <w:rPr>
                <w:b/>
                <w:bCs/>
              </w:rPr>
              <w:t xml:space="preserve">Street: approximately</w:t>
            </w:r>
            <w:r>
              <w:rPr>
                <w:b/>
                <w:bCs/>
              </w:rPr>
              <w:t xml:space="preserve"> </w:t>
            </w:r>
            <m:oMath>
              <m:r>
                <m:t>1.24</m:t>
              </m:r>
              <m:r>
                <m:rPr>
                  <m:sty m:val="p"/>
                </m:rPr>
                <m:t>–</m:t>
              </m:r>
            </m:oMath>
            <w:r>
              <w:rPr>
                <w:b/>
                <w:bCs/>
              </w:rPr>
              <w:t xml:space="preserve">1.26</w:t>
            </w:r>
          </w:p>
        </w:tc>
      </w:tr>
      <w:tr>
        <w:tc>
          <w:tcPr/>
          <w:p>
            <w:pPr>
              <w:pStyle w:val="Compact"/>
            </w:pPr>
            <w:r>
              <w:t xml:space="preserve">Nights and Seats Booked</w:t>
            </w:r>
          </w:p>
        </w:tc>
        <w:tc>
          <w:tcPr/>
          <w:p>
            <w:pPr>
              <w:pStyle w:val="Compact"/>
              <w:jc w:val="right"/>
            </w:pPr>
            <w:r>
              <w:t xml:space="preserve">134.4M</w:t>
            </w:r>
          </w:p>
        </w:tc>
        <w:tc>
          <w:tcPr/>
          <w:p>
            <w:pPr>
              <w:pStyle w:val="Compact"/>
              <w:jc w:val="right"/>
            </w:pPr>
            <w:r>
              <w:t xml:space="preserve">Company expects growth slightly below Q1’s 9%; roughly</w:t>
            </w:r>
            <w:r>
              <w:t xml:space="preserve"> </w:t>
            </w:r>
            <w:r>
              <w:rPr>
                <w:b/>
                <w:bCs/>
              </w:rPr>
              <w:t xml:space="preserve">144M–145M</w:t>
            </w:r>
            <w:r>
              <w:t xml:space="preserve"> </w:t>
            </w:r>
            <w:r>
              <w:t xml:space="preserve">would represent 7%–8% growth</w:t>
            </w:r>
          </w:p>
        </w:tc>
      </w:tr>
      <w:tr>
        <w:tc>
          <w:tcPr/>
          <w:p>
            <w:pPr>
              <w:pStyle w:val="Compact"/>
            </w:pPr>
            <w:r>
              <w:t xml:space="preserve">Gross Booking Value</w:t>
            </w:r>
          </w:p>
        </w:tc>
        <w:tc>
          <w:tcPr/>
          <w:p>
            <w:pPr>
              <w:pStyle w:val="Compact"/>
              <w:jc w:val="right"/>
            </w:pPr>
            <w:r>
              <w:t xml:space="preserve">$23.5B</w:t>
            </w:r>
          </w:p>
        </w:tc>
        <w:tc>
          <w:tcPr/>
          <w:p>
            <w:pPr>
              <w:pStyle w:val="Compact"/>
              <w:jc w:val="right"/>
            </w:pPr>
            <w:r>
              <w:t xml:space="preserve">Company guided to low-double-digit growth; roughly</w:t>
            </w:r>
            <w:r>
              <w:t xml:space="preserve"> </w:t>
            </w:r>
            <m:oMath>
              <m:r>
                <m:t>25.9</m:t>
              </m:r>
              <m:r>
                <m:t>B</m:t>
              </m:r>
              <m:r>
                <m:rPr>
                  <m:sty m:val="p"/>
                </m:rPr>
                <m:t>–</m:t>
              </m:r>
            </m:oMath>
            <w:r>
              <w:rPr>
                <w:b/>
                <w:bCs/>
              </w:rPr>
              <w:t xml:space="preserve">26.3B</w:t>
            </w:r>
            <w:r>
              <w:t xml:space="preserve"> </w:t>
            </w:r>
            <w:r>
              <w:t xml:space="preserve">implies 10%–12%</w:t>
            </w:r>
          </w:p>
        </w:tc>
      </w:tr>
      <w:tr>
        <w:tc>
          <w:tcPr/>
          <w:p>
            <w:pPr>
              <w:pStyle w:val="Compact"/>
            </w:pPr>
            <w:r>
              <w:t xml:space="preserve">ADR</w:t>
            </w:r>
          </w:p>
        </w:tc>
        <w:tc>
          <w:tcPr/>
          <w:p>
            <w:pPr>
              <w:pStyle w:val="Compact"/>
              <w:jc w:val="right"/>
            </w:pPr>
            <w:r>
              <w:t xml:space="preserve">$174.48</w:t>
            </w:r>
          </w:p>
        </w:tc>
        <w:tc>
          <w:tcPr/>
          <w:p>
            <w:pPr>
              <w:pStyle w:val="Compact"/>
              <w:jc w:val="right"/>
            </w:pPr>
            <w:r>
              <w:t xml:space="preserve">Management expects a moderate increase, with less FX help than in Q1</w:t>
            </w:r>
          </w:p>
        </w:tc>
      </w:tr>
      <w:tr>
        <w:tc>
          <w:tcPr/>
          <w:p>
            <w:pPr>
              <w:pStyle w:val="Compact"/>
            </w:pPr>
            <w:r>
              <w:t xml:space="preserve">Adjusted EBITDA</w:t>
            </w:r>
          </w:p>
        </w:tc>
        <w:tc>
          <w:tcPr/>
          <w:p>
            <w:pPr>
              <w:pStyle w:val="Compact"/>
              <w:jc w:val="right"/>
            </w:pPr>
            <w:r>
              <w:t xml:space="preserve">$1.043B</w:t>
            </w:r>
          </w:p>
        </w:tc>
        <w:tc>
          <w:tcPr/>
          <w:p>
            <w:pPr>
              <w:pStyle w:val="Compact"/>
              <w:jc w:val="right"/>
            </w:pPr>
            <w:r>
              <w:t xml:space="preserve">Must be approximately</w:t>
            </w:r>
            <w:r>
              <w:t xml:space="preserve"> </w:t>
            </w:r>
            <w:r>
              <w:rPr>
                <w:b/>
                <w:bCs/>
              </w:rPr>
              <w:t xml:space="preserve">$1.20B or better</w:t>
            </w:r>
            <w:r>
              <w:t xml:space="preserve"> </w:t>
            </w:r>
            <w:r>
              <w:t xml:space="preserve">merely to produce modest year-over-year margin expansion</w:t>
            </w:r>
          </w:p>
        </w:tc>
      </w:tr>
    </w:tbl>
    <w:p>
      <w:pPr>
        <w:pStyle w:val="BodyText"/>
      </w:pPr>
      <w:r>
        <w:t xml:space="preserve">Published consensus sources cluster around</w:t>
      </w:r>
      <w:r>
        <w:t xml:space="preserve"> </w:t>
      </w:r>
      <w:r>
        <w:rPr>
          <w:b/>
          <w:bCs/>
        </w:rPr>
        <w:t xml:space="preserve">$3.57 billion to $3.58 billion of revenue and $1.24 to $1.26 of EPS</w:t>
      </w:r>
      <w:r>
        <w:t xml:space="preserve">. That places the revenue consensus near the midpoint of Airbnb’s own</w:t>
      </w:r>
      <w:r>
        <w:t xml:space="preserve"> </w:t>
      </w:r>
      <m:oMath>
        <m:r>
          <m:t>3.54</m:t>
        </m:r>
        <m:r>
          <m:t>b</m:t>
        </m:r>
        <m:r>
          <m:t>i</m:t>
        </m:r>
        <m:r>
          <m:t>l</m:t>
        </m:r>
        <m:r>
          <m:t>l</m:t>
        </m:r>
        <m:r>
          <m:t>i</m:t>
        </m:r>
        <m:r>
          <m:t>o</m:t>
        </m:r>
        <m:r>
          <m:t>n</m:t>
        </m:r>
        <m:r>
          <m:rPr>
            <m:sty m:val="p"/>
          </m:rPr>
          <m:t>–</m:t>
        </m:r>
      </m:oMath>
      <w:r>
        <w:t xml:space="preserve">3.60 billion guidance range. (</w:t>
      </w:r>
      <w:hyperlink r:id="rId11">
        <w:r>
          <w:rPr>
            <w:rStyle w:val="Hyperlink"/>
          </w:rPr>
          <w:t xml:space="preserve">benzinga.com</w:t>
        </w:r>
      </w:hyperlink>
      <w:r>
        <w:t xml:space="preserve">)</w:t>
      </w:r>
    </w:p>
    <w:p>
      <w:pPr>
        <w:pStyle w:val="BodyText"/>
      </w:pPr>
      <w:r>
        <w:t xml:space="preserve">Airbnb’s Q1 guidance called for Q2 revenue growth of 14%–16%, including roughly three percentage points of FX benefit; low-double-digit GBV growth; a slight deceleration in Nights and Seats Booked from Q1’s 9%; and year-over-year growth in both adjusted EBITDA dollars and margin. Full-year guidance calls for low-to-mid-teens revenue growth and an adjusted EBITDA margin of at least 35%. (</w:t>
      </w:r>
      <w:hyperlink r:id="rId12">
        <w:r>
          <w:rPr>
            <w:rStyle w:val="Hyperlink"/>
          </w:rPr>
          <w:t xml:space="preserve">s26.q4cdn.com</w:t>
        </w:r>
      </w:hyperlink>
      <w:r>
        <w:t xml:space="preserve">)</w:t>
      </w:r>
    </w:p>
    <w:p>
      <w:r>
        <w:pict>
          <v:rect style="width:0;height:1.5pt" o:hralign="center" o:hrstd="t" o:hr="t"/>
        </w:pict>
      </w:r>
    </w:p>
    <w:bookmarkEnd w:id="13"/>
    <w:bookmarkStart w:id="21" w:name="what-matters-most"/>
    <w:p>
      <w:pPr>
        <w:pStyle w:val="Heading2"/>
      </w:pPr>
      <w:r>
        <w:t xml:space="preserve">What matters most</w:t>
      </w:r>
    </w:p>
    <w:bookmarkStart w:id="14" w:name="X69474b9a8e3c11714fcd3b156d71865c8692cac"/>
    <w:p>
      <w:pPr>
        <w:pStyle w:val="Heading3"/>
      </w:pPr>
      <w:r>
        <w:t xml:space="preserve">1. Booking volume versus pricing and monetization</w:t>
      </w:r>
    </w:p>
    <w:p>
      <w:pPr>
        <w:pStyle w:val="FirstParagraph"/>
      </w:pPr>
      <w:r>
        <w:t xml:space="preserve">Q1 was unusually strong on value metrics:</w:t>
      </w:r>
    </w:p>
    <w:p>
      <w:pPr>
        <w:pStyle w:val="Compact"/>
        <w:numPr>
          <w:ilvl w:val="0"/>
          <w:numId w:val="1002"/>
        </w:numPr>
      </w:pPr>
      <w:r>
        <w:t xml:space="preserve">Nights and Seats Booked:</w:t>
      </w:r>
      <w:r>
        <w:t xml:space="preserve"> </w:t>
      </w:r>
      <w:r>
        <w:rPr>
          <w:b/>
          <w:bCs/>
        </w:rPr>
        <w:t xml:space="preserve">+9%</w:t>
      </w:r>
    </w:p>
    <w:p>
      <w:pPr>
        <w:pStyle w:val="Compact"/>
        <w:numPr>
          <w:ilvl w:val="0"/>
          <w:numId w:val="1002"/>
        </w:numPr>
      </w:pPr>
      <w:r>
        <w:t xml:space="preserve">GBV:</w:t>
      </w:r>
      <w:r>
        <w:t xml:space="preserve"> </w:t>
      </w:r>
      <w:r>
        <w:rPr>
          <w:b/>
          <w:bCs/>
        </w:rPr>
        <w:t xml:space="preserve">+19%</w:t>
      </w:r>
    </w:p>
    <w:p>
      <w:pPr>
        <w:pStyle w:val="Compact"/>
        <w:numPr>
          <w:ilvl w:val="0"/>
          <w:numId w:val="1002"/>
        </w:numPr>
      </w:pPr>
      <w:r>
        <w:t xml:space="preserve">ADR:</w:t>
      </w:r>
      <w:r>
        <w:t xml:space="preserve"> </w:t>
      </w:r>
      <w:r>
        <w:rPr>
          <w:b/>
          <w:bCs/>
        </w:rPr>
        <w:t xml:space="preserve">+9%</w:t>
      </w:r>
      <w:r>
        <w:t xml:space="preserve">, or approximately +4% excluding FX</w:t>
      </w:r>
    </w:p>
    <w:p>
      <w:pPr>
        <w:pStyle w:val="Compact"/>
        <w:numPr>
          <w:ilvl w:val="0"/>
          <w:numId w:val="1002"/>
        </w:numPr>
      </w:pPr>
      <w:r>
        <w:t xml:space="preserve">Revenue:</w:t>
      </w:r>
      <w:r>
        <w:t xml:space="preserve"> </w:t>
      </w:r>
      <w:r>
        <w:rPr>
          <w:b/>
          <w:bCs/>
        </w:rPr>
        <w:t xml:space="preserve">+18%</w:t>
      </w:r>
    </w:p>
    <w:p>
      <w:pPr>
        <w:pStyle w:val="FirstParagraph"/>
      </w:pPr>
      <w:r>
        <w:t xml:space="preserve">The gap between volume growth and revenue growth reflected higher prices, foreign exchange, and improving monetization. Airbnb estimated that Reserve Now, Pay Later, updated cancellation policies, and its simplified host-fee structure contributed roughly three percentage points to Q1 nights growth and four points to GBV growth.</w:t>
      </w:r>
    </w:p>
    <w:p>
      <w:pPr>
        <w:pStyle w:val="BodyText"/>
      </w:pPr>
      <w:r>
        <w:t xml:space="preserve">That makes</w:t>
      </w:r>
      <w:r>
        <w:t xml:space="preserve"> </w:t>
      </w:r>
      <w:r>
        <w:rPr>
          <w:b/>
          <w:bCs/>
        </w:rPr>
        <w:t xml:space="preserve">Nights and Seats Booked the cleanest demand indicator</w:t>
      </w:r>
      <w:r>
        <w:t xml:space="preserve"> </w:t>
      </w:r>
      <w:r>
        <w:t xml:space="preserve">this quarter. A result near 8% would be solid and consistent with guidance. A result of 9% or better would suggest the underlying business is accelerating despite geopolitical disruption. Growth near 6% or below would raise concern that headline revenue is being supported disproportionately by FX, ADR, and take rate.</w:t>
      </w:r>
    </w:p>
    <w:bookmarkEnd w:id="14"/>
    <w:bookmarkStart w:id="15" w:name="Xacadb980c85b90e5eecc9e33293756cda4265fb"/>
    <w:p>
      <w:pPr>
        <w:pStyle w:val="Heading3"/>
      </w:pPr>
      <w:r>
        <w:t xml:space="preserve">2. The Q3 guide is the real event</w:t>
      </w:r>
    </w:p>
    <w:p>
      <w:pPr>
        <w:pStyle w:val="FirstParagraph"/>
      </w:pPr>
      <w:r>
        <w:t xml:space="preserve">Q2 includes the opening weeks of the FIFA World Cup, which ran from June 11 through July 19. Because Airbnb recognizes accommodation revenue around the stay rather than at the initial booking,</w:t>
      </w:r>
      <w:r>
        <w:t xml:space="preserve"> </w:t>
      </w:r>
      <w:r>
        <w:rPr>
          <w:b/>
          <w:bCs/>
        </w:rPr>
        <w:t xml:space="preserve">Q3 should capture a meaningful portion of the event’s revenue impact</w:t>
      </w:r>
      <w:r>
        <w:t xml:space="preserve">.</w:t>
      </w:r>
    </w:p>
    <w:p>
      <w:pPr>
        <w:pStyle w:val="BodyText"/>
      </w:pPr>
      <w:r>
        <w:t xml:space="preserve">Management previously said the World Cup was expected to be the largest event in Airbnb’s history and that more than 100,000 homes across the 16 host cities had listed for the first time. Investors should listen for:</w:t>
      </w:r>
    </w:p>
    <w:p>
      <w:pPr>
        <w:pStyle w:val="Compact"/>
        <w:numPr>
          <w:ilvl w:val="0"/>
          <w:numId w:val="1003"/>
        </w:numPr>
      </w:pPr>
      <w:r>
        <w:t xml:space="preserve">Total World Cup guests and bookings</w:t>
      </w:r>
    </w:p>
    <w:p>
      <w:pPr>
        <w:pStyle w:val="Compact"/>
        <w:numPr>
          <w:ilvl w:val="0"/>
          <w:numId w:val="1003"/>
        </w:numPr>
      </w:pPr>
      <w:r>
        <w:t xml:space="preserve">ADR and supply growth in host cities</w:t>
      </w:r>
    </w:p>
    <w:p>
      <w:pPr>
        <w:pStyle w:val="Compact"/>
        <w:numPr>
          <w:ilvl w:val="0"/>
          <w:numId w:val="1003"/>
        </w:numPr>
      </w:pPr>
      <w:r>
        <w:t xml:space="preserve">How many newly recruited hosts remain active</w:t>
      </w:r>
    </w:p>
    <w:p>
      <w:pPr>
        <w:pStyle w:val="Compact"/>
        <w:numPr>
          <w:ilvl w:val="0"/>
          <w:numId w:val="1003"/>
        </w:numPr>
      </w:pPr>
      <w:r>
        <w:t xml:space="preserve">Whether the event attracted first-time Airbnb customers</w:t>
      </w:r>
    </w:p>
    <w:p>
      <w:pPr>
        <w:pStyle w:val="Compact"/>
        <w:numPr>
          <w:ilvl w:val="0"/>
          <w:numId w:val="1003"/>
        </w:numPr>
      </w:pPr>
      <w:r>
        <w:t xml:space="preserve">Evidence of cross-selling into Experiences and Services</w:t>
      </w:r>
    </w:p>
    <w:p>
      <w:pPr>
        <w:pStyle w:val="Compact"/>
        <w:numPr>
          <w:ilvl w:val="0"/>
          <w:numId w:val="1003"/>
        </w:numPr>
      </w:pPr>
      <w:r>
        <w:t xml:space="preserve">Any pull-forward or post-event demand normalization</w:t>
      </w:r>
    </w:p>
    <w:p>
      <w:pPr>
        <w:pStyle w:val="FirstParagraph"/>
      </w:pPr>
      <w:r>
        <w:t xml:space="preserve">A strong Q2 accompanied by conservative Q3 guidance could still disappoint. Conversely, an in-line Q2 with convincing Q3 commentary could be received well.</w:t>
      </w:r>
    </w:p>
    <w:bookmarkEnd w:id="15"/>
    <w:bookmarkStart w:id="17" w:name="X67da8a1caa42c4bb9a140d1d4215944c66774e9"/>
    <w:p>
      <w:pPr>
        <w:pStyle w:val="Heading3"/>
      </w:pPr>
      <w:r>
        <w:t xml:space="preserve">3. Can Airbnb sustain low-to-mid-teens growth?</w:t>
      </w:r>
    </w:p>
    <w:p>
      <w:pPr>
        <w:pStyle w:val="FirstParagraph"/>
      </w:pPr>
      <w:r>
        <w:t xml:space="preserve">Current full-year revenue consensus is approximately</w:t>
      </w:r>
      <w:r>
        <w:t xml:space="preserve"> </w:t>
      </w:r>
      <w:r>
        <w:rPr>
          <w:b/>
          <w:bCs/>
        </w:rPr>
        <w:t xml:space="preserve">$13.97 billion</w:t>
      </w:r>
      <w:r>
        <w:t xml:space="preserve">, representing roughly 14% growth and sitting near the center of management’s low-to-mid-teens framework. (</w:t>
      </w:r>
      <w:hyperlink r:id="rId16">
        <w:r>
          <w:rPr>
            <w:rStyle w:val="Hyperlink"/>
          </w:rPr>
          <w:t xml:space="preserve">zacks.com</w:t>
        </w:r>
      </w:hyperlink>
      <w:r>
        <w:t xml:space="preserve">)</w:t>
      </w:r>
    </w:p>
    <w:p>
      <w:pPr>
        <w:pStyle w:val="BodyText"/>
      </w:pPr>
      <w:r>
        <w:t xml:space="preserve">Assuming Q2 revenue of</w:t>
      </w:r>
      <w:r>
        <w:t xml:space="preserve"> </w:t>
      </w:r>
      <m:oMath>
        <m:r>
          <m:t>3.57</m:t>
        </m:r>
        <m:r>
          <m:t>b</m:t>
        </m:r>
        <m:r>
          <m:t>i</m:t>
        </m:r>
        <m:r>
          <m:t>l</m:t>
        </m:r>
        <m:r>
          <m:t>l</m:t>
        </m:r>
        <m:r>
          <m:t>i</m:t>
        </m:r>
        <m:r>
          <m:t>o</m:t>
        </m:r>
        <m:r>
          <m:t>n</m:t>
        </m:r>
        <m:r>
          <m:rPr>
            <m:sty m:val="p"/>
          </m:rPr>
          <m:t>,</m:t>
        </m:r>
        <m:r>
          <m:t>A</m:t>
        </m:r>
        <m:r>
          <m:t>i</m:t>
        </m:r>
        <m:r>
          <m:t>r</m:t>
        </m:r>
        <m:r>
          <m:t>b</m:t>
        </m:r>
        <m:r>
          <m:t>n</m:t>
        </m:r>
        <m:r>
          <m:t>b</m:t>
        </m:r>
        <m:r>
          <m:t>w</m:t>
        </m:r>
        <m:r>
          <m:t>o</m:t>
        </m:r>
        <m:r>
          <m:t>u</m:t>
        </m:r>
        <m:r>
          <m:t>l</m:t>
        </m:r>
        <m:r>
          <m:t>d</m:t>
        </m:r>
        <m:r>
          <m:t>n</m:t>
        </m:r>
        <m:r>
          <m:t>e</m:t>
        </m:r>
        <m:r>
          <m:t>e</m:t>
        </m:r>
        <m:r>
          <m:t>d</m:t>
        </m:r>
        <m:r>
          <m:t>a</m:t>
        </m:r>
        <m:r>
          <m:t>b</m:t>
        </m:r>
        <m:r>
          <m:t>o</m:t>
        </m:r>
        <m:r>
          <m:t>u</m:t>
        </m:r>
        <m:r>
          <m:t>t</m:t>
        </m:r>
        <m:r>
          <m:rPr>
            <m:sty m:val="p"/>
          </m:rPr>
          <m:t>*</m:t>
        </m:r>
        <m:r>
          <m:rPr>
            <m:sty m:val="p"/>
          </m:rPr>
          <m:t>*</m:t>
        </m:r>
      </m:oMath>
      <w:r>
        <w:t xml:space="preserve">7.72 billion of second-half revenue**, or approximately</w:t>
      </w:r>
      <w:r>
        <w:t xml:space="preserve"> </w:t>
      </w:r>
      <w:r>
        <w:rPr>
          <w:b/>
          <w:bCs/>
        </w:rPr>
        <w:t xml:space="preserve">12% growth</w:t>
      </w:r>
      <w:r>
        <w:t xml:space="preserve">, to reach that consensus. That looks achievable, but the mix matters:</w:t>
      </w:r>
    </w:p>
    <w:p>
      <w:pPr>
        <w:pStyle w:val="BodyText"/>
      </w:pPr>
      <w:r>
        <w:rPr>
          <w:b/>
          <w:bCs/>
        </w:rPr>
        <w:t xml:space="preserve">Tailwinds</w:t>
      </w:r>
    </w:p>
    <w:p>
      <w:pPr>
        <w:pStyle w:val="Compact"/>
        <w:numPr>
          <w:ilvl w:val="0"/>
          <w:numId w:val="1004"/>
        </w:numPr>
      </w:pPr>
      <w:r>
        <w:t xml:space="preserve">Higher take rate from the simplified fee structure</w:t>
      </w:r>
    </w:p>
    <w:p>
      <w:pPr>
        <w:pStyle w:val="Compact"/>
        <w:numPr>
          <w:ilvl w:val="0"/>
          <w:numId w:val="1004"/>
        </w:numPr>
      </w:pPr>
      <w:r>
        <w:t xml:space="preserve">Insurance revenue growth</w:t>
      </w:r>
    </w:p>
    <w:p>
      <w:pPr>
        <w:pStyle w:val="Compact"/>
        <w:numPr>
          <w:ilvl w:val="0"/>
          <w:numId w:val="1004"/>
        </w:numPr>
      </w:pPr>
      <w:r>
        <w:t xml:space="preserve">International expansion, particularly Brazil, India, and Japan</w:t>
      </w:r>
    </w:p>
    <w:p>
      <w:pPr>
        <w:pStyle w:val="Compact"/>
        <w:numPr>
          <w:ilvl w:val="0"/>
          <w:numId w:val="1004"/>
        </w:numPr>
      </w:pPr>
      <w:r>
        <w:t xml:space="preserve">FIFA World Cup stays</w:t>
      </w:r>
    </w:p>
    <w:p>
      <w:pPr>
        <w:pStyle w:val="Compact"/>
        <w:numPr>
          <w:ilvl w:val="0"/>
          <w:numId w:val="1004"/>
        </w:numPr>
      </w:pPr>
      <w:r>
        <w:t xml:space="preserve">Hotels and additional travel categories</w:t>
      </w:r>
    </w:p>
    <w:p>
      <w:pPr>
        <w:pStyle w:val="Compact"/>
        <w:numPr>
          <w:ilvl w:val="0"/>
          <w:numId w:val="1004"/>
        </w:numPr>
      </w:pPr>
      <w:r>
        <w:t xml:space="preserve">Continued app adoption and first-time booker growth</w:t>
      </w:r>
    </w:p>
    <w:p>
      <w:pPr>
        <w:pStyle w:val="FirstParagraph"/>
      </w:pPr>
      <w:r>
        <w:rPr>
          <w:b/>
          <w:bCs/>
        </w:rPr>
        <w:t xml:space="preserve">Headwinds</w:t>
      </w:r>
    </w:p>
    <w:p>
      <w:pPr>
        <w:pStyle w:val="Compact"/>
        <w:numPr>
          <w:ilvl w:val="0"/>
          <w:numId w:val="1005"/>
        </w:numPr>
      </w:pPr>
      <w:r>
        <w:t xml:space="preserve">Tougher comparisons against the 2025 rollout of Reserve Now, Pay Later</w:t>
      </w:r>
    </w:p>
    <w:p>
      <w:pPr>
        <w:pStyle w:val="Compact"/>
        <w:numPr>
          <w:ilvl w:val="0"/>
          <w:numId w:val="1005"/>
        </w:numPr>
      </w:pPr>
      <w:r>
        <w:t xml:space="preserve">Middle East-related cancellations and weaker long-haul travel</w:t>
      </w:r>
    </w:p>
    <w:p>
      <w:pPr>
        <w:pStyle w:val="Compact"/>
        <w:numPr>
          <w:ilvl w:val="0"/>
          <w:numId w:val="1005"/>
        </w:numPr>
      </w:pPr>
      <w:r>
        <w:t xml:space="preserve">Potentially softer consumer spending</w:t>
      </w:r>
    </w:p>
    <w:p>
      <w:pPr>
        <w:pStyle w:val="Compact"/>
        <w:numPr>
          <w:ilvl w:val="0"/>
          <w:numId w:val="1005"/>
        </w:numPr>
      </w:pPr>
      <w:r>
        <w:t xml:space="preserve">Investment behind marketing, AI, hotels, and services</w:t>
      </w:r>
    </w:p>
    <w:p>
      <w:pPr>
        <w:pStyle w:val="Compact"/>
        <w:numPr>
          <w:ilvl w:val="0"/>
          <w:numId w:val="1005"/>
        </w:numPr>
      </w:pPr>
      <w:r>
        <w:t xml:space="preserve">Reduced interest income if yields decline</w:t>
      </w:r>
    </w:p>
    <w:p>
      <w:pPr>
        <w:pStyle w:val="FirstParagraph"/>
      </w:pPr>
      <w:r>
        <w:t xml:space="preserve">An unambiguous reiteration of full-year guidance is the minimum expectation. A raise would be a meaningful positive; language suggesting results will land only at the low end would likely be viewed as disappointing.</w:t>
      </w:r>
    </w:p>
    <w:bookmarkEnd w:id="17"/>
    <w:bookmarkStart w:id="18" w:name="Xfb8c7c95fb8ef2aa5fd42a9c8cf5dc962ab649c"/>
    <w:p>
      <w:pPr>
        <w:pStyle w:val="Heading3"/>
      </w:pPr>
      <w:r>
        <w:t xml:space="preserve">4. Margin quality and free cash flow</w:t>
      </w:r>
    </w:p>
    <w:p>
      <w:pPr>
        <w:pStyle w:val="FirstParagraph"/>
      </w:pPr>
      <w:r>
        <w:t xml:space="preserve">Airbnb’s Q2 2025 adjusted EBITDA margin was approximately</w:t>
      </w:r>
      <w:r>
        <w:t xml:space="preserve"> </w:t>
      </w:r>
      <w:r>
        <w:rPr>
          <w:b/>
          <w:bCs/>
        </w:rPr>
        <w:t xml:space="preserve">33.7%</w:t>
      </w:r>
      <w:r>
        <w:t xml:space="preserve">. At the midpoint of Q2 revenue expectations, simply matching that margin would produce roughly $1.20 billion of adjusted EBITDA. A 35% margin would generate approximately $1.25 billion.</w:t>
      </w:r>
    </w:p>
    <w:p>
      <w:pPr>
        <w:pStyle w:val="BodyText"/>
      </w:pPr>
      <w:r>
        <w:t xml:space="preserve">That makes</w:t>
      </w:r>
      <w:r>
        <w:t xml:space="preserve"> </w:t>
      </w:r>
      <w:r>
        <w:rPr>
          <w:b/>
          <w:bCs/>
        </w:rPr>
        <w:t xml:space="preserve">$1.2 billion the practical EBITDA floor</w:t>
      </w:r>
      <w:r>
        <w:t xml:space="preserve">, even though the formal guidance only says EBITDA dollars and margin should increase.</w:t>
      </w:r>
    </w:p>
    <w:p>
      <w:pPr>
        <w:pStyle w:val="BodyText"/>
      </w:pPr>
      <w:r>
        <w:t xml:space="preserve">Investors should also avoid overreacting to quarterly free cash flow. Reserve Now, Pay Later shifts the timing of guest payments, which management expects to reduce unearned fees and free cash flow in Q1 and Q2 before providing a benefit in Q3. More important indicators are:</w:t>
      </w:r>
    </w:p>
    <w:p>
      <w:pPr>
        <w:pStyle w:val="Compact"/>
        <w:numPr>
          <w:ilvl w:val="0"/>
          <w:numId w:val="1006"/>
        </w:numPr>
      </w:pPr>
      <w:r>
        <w:t xml:space="preserve">Trailing-12-month FCF, previously $4.5 billion</w:t>
      </w:r>
    </w:p>
    <w:p>
      <w:pPr>
        <w:pStyle w:val="Compact"/>
        <w:numPr>
          <w:ilvl w:val="0"/>
          <w:numId w:val="1006"/>
        </w:numPr>
      </w:pPr>
      <w:r>
        <w:t xml:space="preserve">Full-year FCF conversion</w:t>
      </w:r>
    </w:p>
    <w:p>
      <w:pPr>
        <w:pStyle w:val="Compact"/>
        <w:numPr>
          <w:ilvl w:val="0"/>
          <w:numId w:val="1006"/>
        </w:numPr>
      </w:pPr>
      <w:r>
        <w:t xml:space="preserve">Stock-based compensation</w:t>
      </w:r>
    </w:p>
    <w:p>
      <w:pPr>
        <w:pStyle w:val="Compact"/>
        <w:numPr>
          <w:ilvl w:val="0"/>
          <w:numId w:val="1006"/>
        </w:numPr>
      </w:pPr>
      <w:r>
        <w:t xml:space="preserve">Share repurchases and net share-count reduction</w:t>
      </w:r>
    </w:p>
    <w:p>
      <w:pPr>
        <w:pStyle w:val="Compact"/>
        <w:numPr>
          <w:ilvl w:val="0"/>
          <w:numId w:val="1006"/>
        </w:numPr>
      </w:pPr>
      <w:r>
        <w:t xml:space="preserve">Whether AI-related customer-support savings offset new investment</w:t>
      </w:r>
    </w:p>
    <w:bookmarkEnd w:id="18"/>
    <w:bookmarkStart w:id="20" w:name="Xa4757378f4289bf62e078b55a0a16d36bc0e624"/>
    <w:p>
      <w:pPr>
        <w:pStyle w:val="Heading3"/>
      </w:pPr>
      <w:r>
        <w:t xml:space="preserve">5. Early traction beyond homes</w:t>
      </w:r>
    </w:p>
    <w:p>
      <w:pPr>
        <w:pStyle w:val="FirstParagraph"/>
      </w:pPr>
      <w:r>
        <w:t xml:space="preserve">Airbnb’s May product release expanded its offering to include car rentals, grocery delivery, airport pickups, luggage storage, more Experiences, and boutique hotels in 20 major destinations. The company also introduced hotel price matching and credits intended to bring hotel customers back to Airbnb homes. (</w:t>
      </w:r>
      <w:hyperlink r:id="rId19">
        <w:r>
          <w:rPr>
            <w:rStyle w:val="Hyperlink"/>
          </w:rPr>
          <w:t xml:space="preserve">news.airbnb.com</w:t>
        </w:r>
      </w:hyperlink>
      <w:r>
        <w:t xml:space="preserve">)</w:t>
      </w:r>
    </w:p>
    <w:p>
      <w:pPr>
        <w:pStyle w:val="BodyText"/>
      </w:pPr>
      <w:r>
        <w:t xml:space="preserve">These businesses are unlikely to materially change Q2 financial results, but management commentary can affect the long-term narrative. Useful disclosures would include:</w:t>
      </w:r>
    </w:p>
    <w:p>
      <w:pPr>
        <w:pStyle w:val="Compact"/>
        <w:numPr>
          <w:ilvl w:val="0"/>
          <w:numId w:val="1007"/>
        </w:numPr>
      </w:pPr>
      <w:r>
        <w:t xml:space="preserve">Growth in hotel nights and hotel inventory</w:t>
      </w:r>
    </w:p>
    <w:p>
      <w:pPr>
        <w:pStyle w:val="Compact"/>
        <w:numPr>
          <w:ilvl w:val="0"/>
          <w:numId w:val="1007"/>
        </w:numPr>
      </w:pPr>
      <w:r>
        <w:t xml:space="preserve">Conversion from hotel customers to home bookings</w:t>
      </w:r>
    </w:p>
    <w:p>
      <w:pPr>
        <w:pStyle w:val="Compact"/>
        <w:numPr>
          <w:ilvl w:val="0"/>
          <w:numId w:val="1007"/>
        </w:numPr>
      </w:pPr>
      <w:r>
        <w:t xml:space="preserve">Experiences or Services attachment rates</w:t>
      </w:r>
    </w:p>
    <w:p>
      <w:pPr>
        <w:pStyle w:val="Compact"/>
        <w:numPr>
          <w:ilvl w:val="0"/>
          <w:numId w:val="1007"/>
        </w:numPr>
      </w:pPr>
      <w:r>
        <w:t xml:space="preserve">New-to-Airbnb customer acquisition</w:t>
      </w:r>
    </w:p>
    <w:p>
      <w:pPr>
        <w:pStyle w:val="Compact"/>
        <w:numPr>
          <w:ilvl w:val="0"/>
          <w:numId w:val="1007"/>
        </w:numPr>
      </w:pPr>
      <w:r>
        <w:t xml:space="preserve">Repeat usage</w:t>
      </w:r>
    </w:p>
    <w:p>
      <w:pPr>
        <w:pStyle w:val="Compact"/>
        <w:numPr>
          <w:ilvl w:val="0"/>
          <w:numId w:val="1007"/>
        </w:numPr>
      </w:pPr>
      <w:r>
        <w:t xml:space="preserve">Incremental revenue versus promotional costs</w:t>
      </w:r>
    </w:p>
    <w:p>
      <w:pPr>
        <w:pStyle w:val="Compact"/>
        <w:numPr>
          <w:ilvl w:val="0"/>
          <w:numId w:val="1007"/>
        </w:numPr>
      </w:pPr>
      <w:r>
        <w:t xml:space="preserve">Whether hotels are increasing overall conversion in supply-constrained cities</w:t>
      </w:r>
    </w:p>
    <w:p>
      <w:pPr>
        <w:pStyle w:val="FirstParagraph"/>
      </w:pPr>
      <w:r>
        <w:t xml:space="preserve">The market should value these initiatives primarily as</w:t>
      </w:r>
      <w:r>
        <w:t xml:space="preserve"> </w:t>
      </w:r>
      <w:r>
        <w:rPr>
          <w:b/>
          <w:bCs/>
        </w:rPr>
        <w:t xml:space="preserve">customer-acquisition and engagement tools</w:t>
      </w:r>
      <w:r>
        <w:t xml:space="preserve"> </w:t>
      </w:r>
      <w:r>
        <w:t xml:space="preserve">for now, rather than near-term profit centers.</w:t>
      </w:r>
    </w:p>
    <w:p>
      <w:r>
        <w:pict>
          <v:rect style="width:0;height:1.5pt" o:hralign="center" o:hrstd="t" o:hr="t"/>
        </w:pict>
      </w:r>
    </w:p>
    <w:bookmarkEnd w:id="20"/>
    <w:bookmarkEnd w:id="21"/>
    <w:bookmarkStart w:id="25" w:name="earnings-scorecard"/>
    <w:p>
      <w:pPr>
        <w:pStyle w:val="Heading2"/>
      </w:pPr>
      <w:r>
        <w:t xml:space="preserve">Earnings scorecard</w:t>
      </w:r>
    </w:p>
    <w:bookmarkStart w:id="22" w:name="bull-case"/>
    <w:p>
      <w:pPr>
        <w:pStyle w:val="Heading3"/>
      </w:pPr>
      <w:r>
        <w:t xml:space="preserve">Bull case</w:t>
      </w:r>
    </w:p>
    <w:p>
      <w:pPr>
        <w:pStyle w:val="Compact"/>
        <w:numPr>
          <w:ilvl w:val="0"/>
          <w:numId w:val="1008"/>
        </w:numPr>
      </w:pPr>
      <w:r>
        <w:t xml:space="preserve">Revenue above</w:t>
      </w:r>
      <w:r>
        <w:t xml:space="preserve"> </w:t>
      </w:r>
      <w:r>
        <w:rPr>
          <w:b/>
          <w:bCs/>
        </w:rPr>
        <w:t xml:space="preserve">$3.60B</w:t>
      </w:r>
    </w:p>
    <w:p>
      <w:pPr>
        <w:pStyle w:val="Compact"/>
        <w:numPr>
          <w:ilvl w:val="0"/>
          <w:numId w:val="1008"/>
        </w:numPr>
      </w:pPr>
      <w:r>
        <w:t xml:space="preserve">Nights and Seats Booked growth of</w:t>
      </w:r>
      <w:r>
        <w:t xml:space="preserve"> </w:t>
      </w:r>
      <w:r>
        <w:rPr>
          <w:b/>
          <w:bCs/>
        </w:rPr>
        <w:t xml:space="preserve">9% or better</w:t>
      </w:r>
    </w:p>
    <w:p>
      <w:pPr>
        <w:pStyle w:val="Compact"/>
        <w:numPr>
          <w:ilvl w:val="0"/>
          <w:numId w:val="1008"/>
        </w:numPr>
      </w:pPr>
      <w:r>
        <w:t xml:space="preserve">GBV growth of</w:t>
      </w:r>
      <w:r>
        <w:t xml:space="preserve"> </w:t>
      </w:r>
      <w:r>
        <w:rPr>
          <w:b/>
          <w:bCs/>
        </w:rPr>
        <w:t xml:space="preserve">12%+</w:t>
      </w:r>
    </w:p>
    <w:p>
      <w:pPr>
        <w:pStyle w:val="Compact"/>
        <w:numPr>
          <w:ilvl w:val="0"/>
          <w:numId w:val="1008"/>
        </w:numPr>
      </w:pPr>
      <w:r>
        <w:t xml:space="preserve">Adjusted EBITDA around</w:t>
      </w:r>
      <w:r>
        <w:t xml:space="preserve"> </w:t>
      </w:r>
      <w:r>
        <w:rPr>
          <w:b/>
          <w:bCs/>
        </w:rPr>
        <w:t xml:space="preserve">$1.25B or higher</w:t>
      </w:r>
    </w:p>
    <w:p>
      <w:pPr>
        <w:pStyle w:val="Compact"/>
        <w:numPr>
          <w:ilvl w:val="0"/>
          <w:numId w:val="1008"/>
        </w:numPr>
      </w:pPr>
      <w:r>
        <w:t xml:space="preserve">Strong Q3 outlook supported by the World Cup</w:t>
      </w:r>
    </w:p>
    <w:p>
      <w:pPr>
        <w:pStyle w:val="Compact"/>
        <w:numPr>
          <w:ilvl w:val="0"/>
          <w:numId w:val="1008"/>
        </w:numPr>
      </w:pPr>
      <w:r>
        <w:t xml:space="preserve">Full-year revenue guidance raised or framed toward the upper half</w:t>
      </w:r>
    </w:p>
    <w:p>
      <w:pPr>
        <w:pStyle w:val="Compact"/>
        <w:numPr>
          <w:ilvl w:val="0"/>
          <w:numId w:val="1008"/>
        </w:numPr>
      </w:pPr>
      <w:r>
        <w:t xml:space="preserve">Evidence that take-rate gains are incremental and not hurting demand</w:t>
      </w:r>
    </w:p>
    <w:bookmarkEnd w:id="22"/>
    <w:bookmarkStart w:id="23" w:name="base-case"/>
    <w:p>
      <w:pPr>
        <w:pStyle w:val="Heading3"/>
      </w:pPr>
      <w:r>
        <w:t xml:space="preserve">Base case</w:t>
      </w:r>
    </w:p>
    <w:p>
      <w:pPr>
        <w:pStyle w:val="Compact"/>
        <w:numPr>
          <w:ilvl w:val="0"/>
          <w:numId w:val="1009"/>
        </w:numPr>
      </w:pPr>
      <w:r>
        <w:t xml:space="preserve">Revenue of</w:t>
      </w:r>
      <w:r>
        <w:t xml:space="preserve"> </w:t>
      </w:r>
      <m:oMath>
        <m:r>
          <m:t>3.56</m:t>
        </m:r>
        <m:r>
          <m:t>B</m:t>
        </m:r>
        <m:r>
          <m:rPr>
            <m:sty m:val="p"/>
          </m:rPr>
          <m:t>–</m:t>
        </m:r>
      </m:oMath>
      <w:r>
        <w:rPr>
          <w:b/>
          <w:bCs/>
        </w:rPr>
        <w:t xml:space="preserve">3.60B</w:t>
      </w:r>
    </w:p>
    <w:p>
      <w:pPr>
        <w:pStyle w:val="Compact"/>
        <w:numPr>
          <w:ilvl w:val="0"/>
          <w:numId w:val="1009"/>
        </w:numPr>
      </w:pPr>
      <w:r>
        <w:t xml:space="preserve">Nights growth of</w:t>
      </w:r>
      <w:r>
        <w:t xml:space="preserve"> </w:t>
      </w:r>
      <w:r>
        <w:rPr>
          <w:b/>
          <w:bCs/>
        </w:rPr>
        <w:t xml:space="preserve">7%–8%</w:t>
      </w:r>
    </w:p>
    <w:p>
      <w:pPr>
        <w:pStyle w:val="Compact"/>
        <w:numPr>
          <w:ilvl w:val="0"/>
          <w:numId w:val="1009"/>
        </w:numPr>
      </w:pPr>
      <w:r>
        <w:t xml:space="preserve">GBV growth of</w:t>
      </w:r>
      <w:r>
        <w:t xml:space="preserve"> </w:t>
      </w:r>
      <w:r>
        <w:rPr>
          <w:b/>
          <w:bCs/>
        </w:rPr>
        <w:t xml:space="preserve">10%–11%</w:t>
      </w:r>
    </w:p>
    <w:p>
      <w:pPr>
        <w:pStyle w:val="Compact"/>
        <w:numPr>
          <w:ilvl w:val="0"/>
          <w:numId w:val="1009"/>
        </w:numPr>
      </w:pPr>
      <w:r>
        <w:t xml:space="preserve">Adjusted EBITDA margin around</w:t>
      </w:r>
      <w:r>
        <w:t xml:space="preserve"> </w:t>
      </w:r>
      <w:r>
        <w:rPr>
          <w:b/>
          <w:bCs/>
        </w:rPr>
        <w:t xml:space="preserve">34%–35%</w:t>
      </w:r>
    </w:p>
    <w:p>
      <w:pPr>
        <w:pStyle w:val="Compact"/>
        <w:numPr>
          <w:ilvl w:val="0"/>
          <w:numId w:val="1009"/>
        </w:numPr>
      </w:pPr>
      <w:r>
        <w:t xml:space="preserve">Full-year guidance reiterated</w:t>
      </w:r>
    </w:p>
    <w:p>
      <w:pPr>
        <w:pStyle w:val="Compact"/>
        <w:numPr>
          <w:ilvl w:val="0"/>
          <w:numId w:val="1009"/>
        </w:numPr>
      </w:pPr>
      <w:r>
        <w:t xml:space="preserve">Encouraging but mostly qualitative commentary on hotels and services</w:t>
      </w:r>
    </w:p>
    <w:bookmarkEnd w:id="23"/>
    <w:bookmarkStart w:id="24" w:name="bear-case"/>
    <w:p>
      <w:pPr>
        <w:pStyle w:val="Heading3"/>
      </w:pPr>
      <w:r>
        <w:t xml:space="preserve">Bear case</w:t>
      </w:r>
    </w:p>
    <w:p>
      <w:pPr>
        <w:pStyle w:val="Compact"/>
        <w:numPr>
          <w:ilvl w:val="0"/>
          <w:numId w:val="1010"/>
        </w:numPr>
      </w:pPr>
      <w:r>
        <w:t xml:space="preserve">Nights growth of</w:t>
      </w:r>
      <w:r>
        <w:t xml:space="preserve"> </w:t>
      </w:r>
      <w:r>
        <w:rPr>
          <w:b/>
          <w:bCs/>
        </w:rPr>
        <w:t xml:space="preserve">6% or less</w:t>
      </w:r>
    </w:p>
    <w:p>
      <w:pPr>
        <w:pStyle w:val="Compact"/>
        <w:numPr>
          <w:ilvl w:val="0"/>
          <w:numId w:val="1010"/>
        </w:numPr>
      </w:pPr>
      <w:r>
        <w:t xml:space="preserve">Revenue growth relies heavily on FX, ADR, or fee changes</w:t>
      </w:r>
    </w:p>
    <w:p>
      <w:pPr>
        <w:pStyle w:val="Compact"/>
        <w:numPr>
          <w:ilvl w:val="0"/>
          <w:numId w:val="1010"/>
        </w:numPr>
      </w:pPr>
      <w:r>
        <w:t xml:space="preserve">Elevated cancellations continue into July</w:t>
      </w:r>
    </w:p>
    <w:p>
      <w:pPr>
        <w:pStyle w:val="Compact"/>
        <w:numPr>
          <w:ilvl w:val="0"/>
          <w:numId w:val="1010"/>
        </w:numPr>
      </w:pPr>
      <w:r>
        <w:t xml:space="preserve">Q3 outlook falls short of implied low-to-mid-teens full-year growth</w:t>
      </w:r>
    </w:p>
    <w:p>
      <w:pPr>
        <w:pStyle w:val="Compact"/>
        <w:numPr>
          <w:ilvl w:val="0"/>
          <w:numId w:val="1010"/>
        </w:numPr>
      </w:pPr>
      <w:r>
        <w:t xml:space="preserve">Management backs away from the 35% margin floor</w:t>
      </w:r>
    </w:p>
    <w:p>
      <w:pPr>
        <w:pStyle w:val="Compact"/>
        <w:numPr>
          <w:ilvl w:val="0"/>
          <w:numId w:val="1010"/>
        </w:numPr>
      </w:pPr>
      <w:r>
        <w:t xml:space="preserve">Spending on new products rises faster than measurable traction</w:t>
      </w:r>
    </w:p>
    <w:p>
      <w:r>
        <w:pict>
          <v:rect style="width:0;height:1.5pt" o:hralign="center" o:hrstd="t" o:hr="t"/>
        </w:pict>
      </w:r>
    </w:p>
    <w:bookmarkEnd w:id="24"/>
    <w:bookmarkEnd w:id="25"/>
    <w:bookmarkStart w:id="26" w:name="questions-investors-should-want-answered"/>
    <w:p>
      <w:pPr>
        <w:pStyle w:val="Heading2"/>
      </w:pPr>
      <w:r>
        <w:t xml:space="preserve">Questions investors should want answered</w:t>
      </w:r>
    </w:p>
    <w:p>
      <w:pPr>
        <w:pStyle w:val="Compact"/>
        <w:numPr>
          <w:ilvl w:val="0"/>
          <w:numId w:val="1011"/>
        </w:numPr>
      </w:pPr>
      <w:r>
        <w:t xml:space="preserve">What was underlying nights growth excluding the Middle East disruption?</w:t>
      </w:r>
    </w:p>
    <w:p>
      <w:pPr>
        <w:pStyle w:val="Compact"/>
        <w:numPr>
          <w:ilvl w:val="0"/>
          <w:numId w:val="1011"/>
        </w:numPr>
      </w:pPr>
      <w:r>
        <w:t xml:space="preserve">How much of revenue growth came from FX, ADR, take rate, and booking volume?</w:t>
      </w:r>
    </w:p>
    <w:p>
      <w:pPr>
        <w:pStyle w:val="Compact"/>
        <w:numPr>
          <w:ilvl w:val="0"/>
          <w:numId w:val="1011"/>
        </w:numPr>
      </w:pPr>
      <w:r>
        <w:t xml:space="preserve">Is Reserve Now, Pay Later still producing a positive net booking lift after cancellations?</w:t>
      </w:r>
    </w:p>
    <w:p>
      <w:pPr>
        <w:pStyle w:val="Compact"/>
        <w:numPr>
          <w:ilvl w:val="0"/>
          <w:numId w:val="1011"/>
        </w:numPr>
      </w:pPr>
      <w:r>
        <w:t xml:space="preserve">What did the World Cup contribute to bookings, stays, ADR, and new host supply?</w:t>
      </w:r>
    </w:p>
    <w:p>
      <w:pPr>
        <w:pStyle w:val="Compact"/>
        <w:numPr>
          <w:ilvl w:val="0"/>
          <w:numId w:val="1011"/>
        </w:numPr>
      </w:pPr>
      <w:r>
        <w:t xml:space="preserve">How are July booking trends tracking across North America, EMEA, Latin America, and Asia-Pacific?</w:t>
      </w:r>
    </w:p>
    <w:p>
      <w:pPr>
        <w:pStyle w:val="Compact"/>
        <w:numPr>
          <w:ilvl w:val="0"/>
          <w:numId w:val="1011"/>
        </w:numPr>
      </w:pPr>
      <w:r>
        <w:t xml:space="preserve">Are hotels increasing conversion or primarily shifting existing Airbnb demand?</w:t>
      </w:r>
    </w:p>
    <w:p>
      <w:pPr>
        <w:pStyle w:val="Compact"/>
        <w:numPr>
          <w:ilvl w:val="0"/>
          <w:numId w:val="1011"/>
        </w:numPr>
      </w:pPr>
      <w:r>
        <w:t xml:space="preserve">How much revenue are Services, Experiences, insurance, and the simplified fee structure contributing?</w:t>
      </w:r>
    </w:p>
    <w:p>
      <w:pPr>
        <w:pStyle w:val="Compact"/>
        <w:numPr>
          <w:ilvl w:val="0"/>
          <w:numId w:val="1011"/>
        </w:numPr>
      </w:pPr>
      <w:r>
        <w:t xml:space="preserve">Can AI customer support continue lowering cost per booking while customer satisfaction remains stable?</w:t>
      </w:r>
    </w:p>
    <w:p>
      <w:pPr>
        <w:pStyle w:val="Compact"/>
        <w:numPr>
          <w:ilvl w:val="0"/>
          <w:numId w:val="1011"/>
        </w:numPr>
      </w:pPr>
      <w:r>
        <w:t xml:space="preserve">Will repurchases continue to reduce the fully diluted share count rather than merely offset stock compensation?</w:t>
      </w:r>
    </w:p>
    <w:p>
      <w:r>
        <w:pict>
          <v:rect style="width:0;height:1.5pt" o:hralign="center" o:hrstd="t" o:hr="t"/>
        </w:pict>
      </w:r>
    </w:p>
    <w:bookmarkEnd w:id="26"/>
    <w:bookmarkStart w:id="27" w:name="bottom-line"/>
    <w:p>
      <w:pPr>
        <w:pStyle w:val="Heading2"/>
      </w:pPr>
      <w:r>
        <w:t xml:space="preserve">Bottom line</w:t>
      </w:r>
    </w:p>
    <w:p>
      <w:pPr>
        <w:pStyle w:val="FirstParagraph"/>
      </w:pPr>
      <w:r>
        <w:t xml:space="preserve">Airbnb is likely to meet or modestly exceed its Q2 revenue target. The harder test is whether</w:t>
      </w:r>
      <w:r>
        <w:t xml:space="preserve"> </w:t>
      </w:r>
      <w:r>
        <w:rPr>
          <w:b/>
          <w:bCs/>
        </w:rPr>
        <w:t xml:space="preserve">booking volume, Q3 guidance, and margin quality justify the stock’s recent rise</w:t>
      </w:r>
      <w:r>
        <w:t xml:space="preserve">.</w:t>
      </w:r>
    </w:p>
    <w:p>
      <w:pPr>
        <w:pStyle w:val="BodyText"/>
      </w:pPr>
      <w:r>
        <w:t xml:space="preserve">The most constructive result would combine at least high-single-digit nights growth, low-double-digit GBV growth, adjusted EBITDA comfortably above $1.2 billion, and a confident second-half outlook. A revenue beat driven mainly by FX and monetization—paired with slower nights or cautious Q3 guidance—would be much less compelling.</w:t>
      </w:r>
    </w:p>
    <w:p>
      <w:pPr>
        <w:pStyle w:val="BodyText"/>
      </w:pPr>
      <w:r>
        <w:rPr>
          <w:b/>
          <w:bCs/>
        </w:rPr>
        <w:t xml:space="preserve">The single most important number is Nights and Seats Booked growth; the single most important statement is management’s Q3 and full-year outlook.</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airbnb.com/press-releases/news-details/2026/Airbnb-to-Announce-Second-Quarter-2026-Results/default.aspx?utm_source=openai" TargetMode="External" /><Relationship Type="http://schemas.openxmlformats.org/officeDocument/2006/relationships/hyperlink" Id="rId19" Target="https://news.airbnb.com/product-releases/airbnb-2026-summer-release/?utm_source=openai" TargetMode="External" /><Relationship Type="http://schemas.openxmlformats.org/officeDocument/2006/relationships/hyperlink" Id="rId12" Target="https://s26.q4cdn.com/656283129/files/doc_financials/2026/q1/Airbnb_Q1-2026-Shareholder-Letter.pdf?utm_source=openai" TargetMode="External" /><Relationship Type="http://schemas.openxmlformats.org/officeDocument/2006/relationships/hyperlink" Id="rId11" Target="https://www.benzinga.com/quote/abnb/earnings?utm_source=openai" TargetMode="External" /><Relationship Type="http://schemas.openxmlformats.org/officeDocument/2006/relationships/hyperlink" Id="rId16" Target="https://www.zacks.com/stock/news/2951972/airbnb-inc-abnb-outpaces-stock-market-gains-what-you-should-know?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airbnb.com/press-releases/news-details/2026/Airbnb-to-Announce-Second-Quarter-2026-Results/default.aspx?utm_source=openai" TargetMode="External" /><Relationship Type="http://schemas.openxmlformats.org/officeDocument/2006/relationships/hyperlink" Id="rId19" Target="https://news.airbnb.com/product-releases/airbnb-2026-summer-release/?utm_source=openai" TargetMode="External" /><Relationship Type="http://schemas.openxmlformats.org/officeDocument/2006/relationships/hyperlink" Id="rId12" Target="https://s26.q4cdn.com/656283129/files/doc_financials/2026/q1/Airbnb_Q1-2026-Shareholder-Letter.pdf?utm_source=openai" TargetMode="External" /><Relationship Type="http://schemas.openxmlformats.org/officeDocument/2006/relationships/hyperlink" Id="rId11" Target="https://www.benzinga.com/quote/abnb/earnings?utm_source=openai" TargetMode="External" /><Relationship Type="http://schemas.openxmlformats.org/officeDocument/2006/relationships/hyperlink" Id="rId16" Target="https://www.zacks.com/stock/news/2951972/airbnb-inc-abnb-outpaces-stock-market-gains-what-you-should-know?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2026-08-06T01:17:31Z</dcterms:created>
  <dcterms:modified xsi:type="dcterms:W3CDTF">2026-08-06T01:17:31Z</dcterms:modified>
</cp:coreProperties>
</file>

<file path=docProps/custom.xml><?xml version="1.0" encoding="utf-8"?>
<Properties xmlns="http://schemas.openxmlformats.org/officeDocument/2006/custom-properties" xmlns:vt="http://schemas.openxmlformats.org/officeDocument/2006/docPropsVTypes"/>
</file>