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airbnb-abnb-q2-2026-earnings-preview"/>
    <w:p>
      <w:pPr>
        <w:pStyle w:val="Heading1"/>
      </w:pPr>
      <w:r>
        <w:t xml:space="preserve">Airbnb (ABNB) Q2 2026 Earnings Preview</w:t>
      </w:r>
    </w:p>
    <w:p>
      <w:pPr>
        <w:pStyle w:val="BlockText"/>
      </w:pPr>
      <w:r>
        <w:rPr>
          <w:b/>
          <w:bCs/>
        </w:rPr>
        <w:t xml:space="preserve">Timing correction:</w:t>
      </w:r>
      <w:r>
        <w:t xml:space="preserve"> </w:t>
      </w:r>
      <w:r>
        <w:t xml:space="preserve">Airbnb reports</w:t>
      </w:r>
      <w:r>
        <w:t xml:space="preserve"> </w:t>
      </w:r>
      <w:r>
        <w:rPr>
          <w:b/>
          <w:bCs/>
        </w:rPr>
        <w:t xml:space="preserve">today, Thursday, August 6, 2026</w:t>
      </w:r>
      <w:r>
        <w:t xml:space="preserve">, not tomorrow. Results are due</w:t>
      </w:r>
      <w:r>
        <w:t xml:space="preserve"> </w:t>
      </w:r>
      <w:r>
        <w:rPr>
          <w:b/>
          <w:bCs/>
        </w:rPr>
        <w:t xml:space="preserve">after the market close</w:t>
      </w:r>
      <w:r>
        <w:t xml:space="preserve">, followed by the earnings webcast at</w:t>
      </w:r>
      <w:r>
        <w:t xml:space="preserve"> </w:t>
      </w:r>
      <w:r>
        <w:rPr>
          <w:b/>
          <w:bCs/>
        </w:rPr>
        <w:t xml:space="preserve">5:00 p.m. ET</w:t>
      </w:r>
      <w:r>
        <w:t xml:space="preserve">. (</w:t>
      </w:r>
      <w:hyperlink r:id="rId9">
        <w:r>
          <w:rPr>
            <w:rStyle w:val="Hyperlink"/>
          </w:rPr>
          <w:t xml:space="preserve">investors.airbnb.com</w:t>
        </w:r>
      </w:hyperlink>
      <w:r>
        <w:t xml:space="preserve">)</w:t>
      </w:r>
    </w:p>
    <w:bookmarkStart w:id="11" w:name="X26af94bbaf8db0dd8b1a6c409e993acc1fca31b"/>
    <w:p>
      <w:pPr>
        <w:pStyle w:val="Heading2"/>
      </w:pPr>
      <w:r>
        <w:t xml:space="preserve">Investment view: the bar is increasingly about durability, not just a Q2 beat</w:t>
      </w:r>
    </w:p>
    <w:p>
      <w:pPr>
        <w:pStyle w:val="FirstParagraph"/>
      </w:pPr>
      <w:r>
        <w:t xml:space="preserve">Airbnb enters Q2 with clearly improved operating momentum: Q1 revenue grew 18% year over year, GBV rose 19%, and Nights &amp; Seats Booked grew 9%, despite an estimated ~100 bp drag from Middle East-related cancellations. Management then raised its full-year growth outlook to</w:t>
      </w:r>
      <w:r>
        <w:t xml:space="preserve"> </w:t>
      </w:r>
      <w:r>
        <w:rPr>
          <w:b/>
          <w:bCs/>
        </w:rPr>
        <w:t xml:space="preserve">low-to-mid-teens revenue growth</w:t>
      </w:r>
      <w:r>
        <w:t xml:space="preserve"> </w:t>
      </w:r>
      <w:r>
        <w:t xml:space="preserve">and reaffirmed at least a</w:t>
      </w:r>
      <w:r>
        <w:t xml:space="preserve"> </w:t>
      </w:r>
      <w:r>
        <w:rPr>
          <w:b/>
          <w:bCs/>
        </w:rPr>
        <w:t xml:space="preserve">35% adjusted EBITDA margin</w:t>
      </w:r>
      <w:r>
        <w:t xml:space="preserve">. (</w:t>
      </w:r>
      <w:hyperlink r:id="rId10">
        <w:r>
          <w:rPr>
            <w:rStyle w:val="Hyperlink"/>
          </w:rPr>
          <w:t xml:space="preserve">investors.airbnb.com</w:t>
        </w:r>
      </w:hyperlink>
      <w:r>
        <w:t xml:space="preserve">)</w:t>
      </w:r>
    </w:p>
    <w:p>
      <w:pPr>
        <w:pStyle w:val="BodyText"/>
      </w:pPr>
      <w:r>
        <w:t xml:space="preserve">The key issue for investors is whether Q2 validates that the acceleration is</w:t>
      </w:r>
      <w:r>
        <w:t xml:space="preserve"> </w:t>
      </w:r>
      <w:r>
        <w:rPr>
          <w:b/>
          <w:bCs/>
        </w:rPr>
        <w:t xml:space="preserve">structural</w:t>
      </w:r>
      <w:r>
        <w:t xml:space="preserve">—driven by product, payments, monetization, international expansion, and improved conversion—or instead reflects a favorable mix of FX, ADR, and event-driven demand that becomes harder to sustain in the second half.</w:t>
      </w:r>
    </w:p>
    <w:p>
      <w:pPr>
        <w:pStyle w:val="BodyText"/>
      </w:pPr>
      <w:r>
        <w:t xml:space="preserve">ABNB closed at</w:t>
      </w:r>
      <w:r>
        <w:t xml:space="preserve"> </w:t>
      </w:r>
      <w:r>
        <w:rPr>
          <w:b/>
          <w:bCs/>
        </w:rPr>
        <w:t xml:space="preserve">$152.52 on August 5</w:t>
      </w:r>
      <w:r>
        <w:t xml:space="preserve">, up roughly</w:t>
      </w:r>
      <w:r>
        <w:t xml:space="preserve"> </w:t>
      </w:r>
      <w:r>
        <w:rPr>
          <w:b/>
          <w:bCs/>
        </w:rPr>
        <w:t xml:space="preserve">14.7% year to date</w:t>
      </w:r>
      <w:r>
        <w:t xml:space="preserve">. That performance, combined with the Q1 raise, suggests the market will likely focus more on the</w:t>
      </w:r>
      <w:r>
        <w:t xml:space="preserve"> </w:t>
      </w:r>
      <w:r>
        <w:rPr>
          <w:b/>
          <w:bCs/>
        </w:rPr>
        <w:t xml:space="preserve">Q3 outlook and full-year confidence</w:t>
      </w:r>
      <w:r>
        <w:t xml:space="preserve"> </w:t>
      </w:r>
      <w:r>
        <w:t xml:space="preserve">than on an in-line Q2 print.</w:t>
      </w:r>
    </w:p>
    <w:p>
      <w:r>
        <w:pict>
          <v:rect style="width:0;height:1.5pt" o:hralign="center" o:hrstd="t" o:hr="t"/>
        </w:pict>
      </w:r>
    </w:p>
    <w:bookmarkEnd w:id="11"/>
    <w:bookmarkStart w:id="12" w:name="what-airbnb-guided-to-for-q2"/>
    <w:p>
      <w:pPr>
        <w:pStyle w:val="Heading2"/>
      </w:pPr>
      <w:r>
        <w:t xml:space="preserve">What Airbnb guided to for Q2</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company outlook</w:t>
            </w:r>
          </w:p>
        </w:tc>
        <w:tc>
          <w:tcPr/>
          <w:p>
            <w:pPr>
              <w:pStyle w:val="Compact"/>
              <w:jc w:val="right"/>
            </w:pPr>
            <w:r>
              <w:t xml:space="preserve">Q2 2025 actual</w:t>
            </w:r>
          </w:p>
        </w:tc>
        <w:tc>
          <w:tcPr/>
          <w:p>
            <w:pPr>
              <w:pStyle w:val="Compact"/>
            </w:pPr>
            <w:r>
              <w:t xml:space="preserve">What matters</w:t>
            </w:r>
          </w:p>
        </w:tc>
      </w:tr>
      <w:tr>
        <w:tc>
          <w:tcPr/>
          <w:p>
            <w:pPr>
              <w:pStyle w:val="Compact"/>
            </w:pPr>
            <w:r>
              <w:t xml:space="preserve">Revenue</w:t>
            </w:r>
          </w:p>
        </w:tc>
        <w:tc>
          <w:tcPr/>
          <w:p>
            <w:pPr>
              <w:pStyle w:val="Compact"/>
              <w:jc w:val="right"/>
            </w:pPr>
            <m:oMath>
              <m:r>
                <m:t>3.54</m:t>
              </m:r>
              <m:r>
                <m:t>B</m:t>
              </m:r>
              <m:r>
                <m:rPr>
                  <m:sty m:val="p"/>
                </m:rPr>
                <m:t>–</m:t>
              </m:r>
            </m:oMath>
            <w:r>
              <w:rPr>
                <w:b/>
                <w:bCs/>
              </w:rPr>
              <w:t xml:space="preserve">3.60B</w:t>
            </w:r>
          </w:p>
        </w:tc>
        <w:tc>
          <w:tcPr/>
          <w:p>
            <w:pPr>
              <w:pStyle w:val="Compact"/>
              <w:jc w:val="right"/>
            </w:pPr>
            <w:r>
              <w:t xml:space="preserve">$3.10B</w:t>
            </w:r>
          </w:p>
        </w:tc>
        <w:tc>
          <w:tcPr/>
          <w:p>
            <w:pPr>
              <w:pStyle w:val="Compact"/>
            </w:pPr>
            <w:r>
              <w:t xml:space="preserve">Implies roughly</w:t>
            </w:r>
            <w:r>
              <w:t xml:space="preserve"> </w:t>
            </w:r>
            <w:r>
              <w:rPr>
                <w:b/>
                <w:bCs/>
              </w:rPr>
              <w:t xml:space="preserve">14%–16% YoY growth</w:t>
            </w:r>
          </w:p>
        </w:tc>
      </w:tr>
      <w:tr>
        <w:tc>
          <w:tcPr/>
          <w:p>
            <w:pPr>
              <w:pStyle w:val="Compact"/>
            </w:pPr>
            <w:r>
              <w:t xml:space="preserve">GBV</w:t>
            </w:r>
          </w:p>
        </w:tc>
        <w:tc>
          <w:tcPr/>
          <w:p>
            <w:pPr>
              <w:pStyle w:val="Compact"/>
              <w:jc w:val="right"/>
            </w:pPr>
            <w:r>
              <w:t xml:space="preserve">Low-double-digit YoY growth</w:t>
            </w:r>
          </w:p>
        </w:tc>
        <w:tc>
          <w:tcPr/>
          <w:p>
            <w:pPr>
              <w:pStyle w:val="Compact"/>
              <w:jc w:val="right"/>
            </w:pPr>
            <w:r>
              <w:t xml:space="preserve">$23.5B</w:t>
            </w:r>
          </w:p>
        </w:tc>
        <w:tc>
          <w:tcPr/>
          <w:p>
            <w:pPr>
              <w:pStyle w:val="Compact"/>
            </w:pPr>
            <w:r>
              <w:t xml:space="preserve">Balance of volume, ADR, and FX</w:t>
            </w:r>
          </w:p>
        </w:tc>
      </w:tr>
      <w:tr>
        <w:tc>
          <w:tcPr/>
          <w:p>
            <w:pPr>
              <w:pStyle w:val="Compact"/>
            </w:pPr>
            <w:r>
              <w:t xml:space="preserve">Nights &amp; Seats Booked</w:t>
            </w:r>
          </w:p>
        </w:tc>
        <w:tc>
          <w:tcPr/>
          <w:p>
            <w:pPr>
              <w:pStyle w:val="Compact"/>
              <w:jc w:val="right"/>
            </w:pPr>
            <w:r>
              <w:t xml:space="preserve">Slight deceleration vs. Q1’s 9% growth</w:t>
            </w:r>
          </w:p>
        </w:tc>
        <w:tc>
          <w:tcPr/>
          <w:p>
            <w:pPr>
              <w:pStyle w:val="Compact"/>
              <w:jc w:val="right"/>
            </w:pPr>
            <w:r>
              <w:t xml:space="preserve">134.4M</w:t>
            </w:r>
          </w:p>
        </w:tc>
        <w:tc>
          <w:tcPr/>
          <w:p>
            <w:pPr>
              <w:pStyle w:val="Compact"/>
            </w:pPr>
            <w:r>
              <w:t xml:space="preserve">Underlying demand and cancellation trends</w:t>
            </w:r>
          </w:p>
        </w:tc>
      </w:tr>
      <w:tr>
        <w:tc>
          <w:tcPr/>
          <w:p>
            <w:pPr>
              <w:pStyle w:val="Compact"/>
            </w:pPr>
            <w:r>
              <w:t xml:space="preserve">ADR</w:t>
            </w:r>
          </w:p>
        </w:tc>
        <w:tc>
          <w:tcPr/>
          <w:p>
            <w:pPr>
              <w:pStyle w:val="Compact"/>
              <w:jc w:val="right"/>
            </w:pPr>
            <w:r>
              <w:t xml:space="preserve">Moderate YoY increase</w:t>
            </w:r>
          </w:p>
        </w:tc>
        <w:tc>
          <w:tcPr/>
          <w:p>
            <w:pPr>
              <w:pStyle w:val="Compact"/>
              <w:jc w:val="right"/>
            </w:pPr>
            <w:r>
              <w:t xml:space="preserve">$174.48</w:t>
            </w:r>
          </w:p>
        </w:tc>
        <w:tc>
          <w:tcPr/>
          <w:p>
            <w:pPr>
              <w:pStyle w:val="Compact"/>
            </w:pPr>
            <w:r>
              <w:t xml:space="preserve">Pricing durability as FX help moderates</w:t>
            </w:r>
          </w:p>
        </w:tc>
      </w:tr>
      <w:tr>
        <w:tc>
          <w:tcPr/>
          <w:p>
            <w:pPr>
              <w:pStyle w:val="Compact"/>
            </w:pPr>
            <w:r>
              <w:t xml:space="preserve">Adjusted EBITDA</w:t>
            </w:r>
          </w:p>
        </w:tc>
        <w:tc>
          <w:tcPr/>
          <w:p>
            <w:pPr>
              <w:pStyle w:val="Compact"/>
              <w:jc w:val="right"/>
            </w:pPr>
            <w:r>
              <w:t xml:space="preserve">Up YoY</w:t>
            </w:r>
          </w:p>
        </w:tc>
        <w:tc>
          <w:tcPr/>
          <w:p>
            <w:pPr>
              <w:pStyle w:val="Compact"/>
              <w:jc w:val="right"/>
            </w:pPr>
            <w:r>
              <w:t xml:space="preserve">$1.04B</w:t>
            </w:r>
          </w:p>
        </w:tc>
        <w:tc>
          <w:tcPr/>
          <w:p>
            <w:pPr>
              <w:pStyle w:val="Compact"/>
            </w:pPr>
            <w:r>
              <w:t xml:space="preserve">Implies EBITDA margin above Q2 2025’s ~33.7%</w:t>
            </w:r>
          </w:p>
        </w:tc>
      </w:tr>
      <w:tr>
        <w:tc>
          <w:tcPr/>
          <w:p>
            <w:pPr>
              <w:pStyle w:val="Compact"/>
            </w:pPr>
            <w:r>
              <w:t xml:space="preserve">Take rate</w:t>
            </w:r>
          </w:p>
        </w:tc>
        <w:tc>
          <w:tcPr/>
          <w:p>
            <w:pPr>
              <w:pStyle w:val="Compact"/>
              <w:jc w:val="right"/>
            </w:pPr>
            <w:r>
              <w:t xml:space="preserve">Slightly up YoY</w:t>
            </w:r>
          </w:p>
        </w:tc>
        <w:tc>
          <w:tcPr/>
          <w:p>
            <w:pPr>
              <w:pStyle w:val="Compact"/>
              <w:jc w:val="right"/>
            </w:pPr>
            <w:r>
              <w:t xml:space="preserve">—</w:t>
            </w:r>
          </w:p>
        </w:tc>
        <w:tc>
          <w:tcPr/>
          <w:p>
            <w:pPr>
              <w:pStyle w:val="Compact"/>
            </w:pPr>
            <w:r>
              <w:t xml:space="preserve">Fee simplification and insurance monetization</w:t>
            </w:r>
          </w:p>
        </w:tc>
      </w:tr>
    </w:tbl>
    <w:p>
      <w:pPr>
        <w:pStyle w:val="BodyText"/>
      </w:pPr>
      <w:r>
        <w:t xml:space="preserve">The midpoint of revenue guidance is</w:t>
      </w:r>
      <w:r>
        <w:t xml:space="preserve"> </w:t>
      </w:r>
      <w:r>
        <w:rPr>
          <w:b/>
          <w:bCs/>
        </w:rPr>
        <w:t xml:space="preserve">$3.57B</w:t>
      </w:r>
      <w:r>
        <w:t xml:space="preserve">. The qualitative EBITDA guide is notable: because Q2 2025 adjusted EBITDA was $1.043B, Airbnb needs to deliver both higher adjusted EBITDA dollars and a margin above the prior-year level to meet its own wording.</w:t>
      </w:r>
    </w:p>
    <w:p>
      <w:r>
        <w:pict>
          <v:rect style="width:0;height:1.5pt" o:hralign="center" o:hrstd="t" o:hr="t"/>
        </w:pict>
      </w:r>
    </w:p>
    <w:bookmarkEnd w:id="12"/>
    <w:bookmarkStart w:id="17" w:name="X0575c253354eea0a7f0944ae107d815269bed8d"/>
    <w:p>
      <w:pPr>
        <w:pStyle w:val="Heading2"/>
      </w:pPr>
      <w:r>
        <w:t xml:space="preserve">The three questions that should drive the stock reaction</w:t>
      </w:r>
    </w:p>
    <w:bookmarkStart w:id="13" w:name="X786a9225b4af8dcf3e459b5d2a39c0f303dae4c"/>
    <w:p>
      <w:pPr>
        <w:pStyle w:val="Heading3"/>
      </w:pPr>
      <w:r>
        <w:t xml:space="preserve">1. Is booking growth holding near high-single digits despite the Q2 headwinds?</w:t>
      </w:r>
    </w:p>
    <w:p>
      <w:pPr>
        <w:pStyle w:val="FirstParagraph"/>
      </w:pPr>
      <w:r>
        <w:t xml:space="preserve">Management guided to a slight deceleration from Q1’s 9% Nights &amp; Seats Booked growth, incorporating approximately a 100 bp headwind from the Middle East conflict. That means investors should look past reported revenue and focus on:</w:t>
      </w:r>
    </w:p>
    <w:p>
      <w:pPr>
        <w:pStyle w:val="Compact"/>
        <w:numPr>
          <w:ilvl w:val="0"/>
          <w:numId w:val="1001"/>
        </w:numPr>
      </w:pPr>
      <w:r>
        <w:rPr>
          <w:b/>
          <w:bCs/>
        </w:rPr>
        <w:t xml:space="preserve">Nights &amp; Seats Booked growth</w:t>
      </w:r>
      <w:r>
        <w:t xml:space="preserve">, particularly whether it stays close to high-single digits;</w:t>
      </w:r>
    </w:p>
    <w:p>
      <w:pPr>
        <w:pStyle w:val="Compact"/>
        <w:numPr>
          <w:ilvl w:val="0"/>
          <w:numId w:val="1001"/>
        </w:numPr>
      </w:pPr>
      <w:r>
        <w:t xml:space="preserve">regional commentary for</w:t>
      </w:r>
      <w:r>
        <w:t xml:space="preserve"> </w:t>
      </w:r>
      <w:r>
        <w:rPr>
          <w:b/>
          <w:bCs/>
        </w:rPr>
        <w:t xml:space="preserve">EMEA and APAC</w:t>
      </w:r>
      <w:r>
        <w:t xml:space="preserve">, where cancellations pressured Q1;</w:t>
      </w:r>
    </w:p>
    <w:p>
      <w:pPr>
        <w:pStyle w:val="Compact"/>
        <w:numPr>
          <w:ilvl w:val="0"/>
          <w:numId w:val="1001"/>
        </w:numPr>
      </w:pPr>
      <w:r>
        <w:t xml:space="preserve">strength in</w:t>
      </w:r>
      <w:r>
        <w:t xml:space="preserve"> </w:t>
      </w:r>
      <w:r>
        <w:rPr>
          <w:b/>
          <w:bCs/>
        </w:rPr>
        <w:t xml:space="preserve">North America and Latin America</w:t>
      </w:r>
      <w:r>
        <w:t xml:space="preserve">;</w:t>
      </w:r>
    </w:p>
    <w:p>
      <w:pPr>
        <w:pStyle w:val="Compact"/>
        <w:numPr>
          <w:ilvl w:val="0"/>
          <w:numId w:val="1001"/>
        </w:numPr>
      </w:pPr>
      <w:r>
        <w:t xml:space="preserve">the gap between reported and FX-neutral GBV/ADR growth.</w:t>
      </w:r>
    </w:p>
    <w:p>
      <w:pPr>
        <w:pStyle w:val="FirstParagraph"/>
      </w:pPr>
      <w:r>
        <w:t xml:space="preserve">Q1 demonstrated that growth was not purely pricing-led: app-booked nights rose 22%, first-time bookers grew 10%, and expansion markets outgrew core markets materially. The durability of those indicators is the most important read-through for the rest of 2026. (</w:t>
      </w:r>
      <w:hyperlink r:id="rId10">
        <w:r>
          <w:rPr>
            <w:rStyle w:val="Hyperlink"/>
          </w:rPr>
          <w:t xml:space="preserve">investors.airbnb.com</w:t>
        </w:r>
      </w:hyperlink>
      <w:r>
        <w:t xml:space="preserve">)</w:t>
      </w:r>
    </w:p>
    <w:bookmarkEnd w:id="13"/>
    <w:bookmarkStart w:id="14" w:name="X99fade970dcc8fe1fd8dc328e84ecda51e3b82b"/>
    <w:p>
      <w:pPr>
        <w:pStyle w:val="Heading3"/>
      </w:pPr>
      <w:r>
        <w:t xml:space="preserve">2. Are monetization initiatives lifting take rate without hurting conversion?</w:t>
      </w:r>
    </w:p>
    <w:p>
      <w:pPr>
        <w:pStyle w:val="FirstParagraph"/>
      </w:pPr>
      <w:r>
        <w:t xml:space="preserve">The earnings report should provide a cleaner view of Airbnb’s ability to grow revenue faster than underlying GBV. The company has highlighted two monetization levers:</w:t>
      </w:r>
    </w:p>
    <w:p>
      <w:pPr>
        <w:pStyle w:val="Compact"/>
        <w:numPr>
          <w:ilvl w:val="0"/>
          <w:numId w:val="1002"/>
        </w:numPr>
      </w:pPr>
      <w:r>
        <w:t xml:space="preserve">migration toward a</w:t>
      </w:r>
      <w:r>
        <w:t xml:space="preserve"> </w:t>
      </w:r>
      <w:r>
        <w:rPr>
          <w:b/>
          <w:bCs/>
        </w:rPr>
        <w:t xml:space="preserve">simplified single-fee structure</w:t>
      </w:r>
      <w:r>
        <w:t xml:space="preserve"> </w:t>
      </w:r>
      <w:r>
        <w:t xml:space="preserve">for certain hosts; and</w:t>
      </w:r>
    </w:p>
    <w:p>
      <w:pPr>
        <w:pStyle w:val="Compact"/>
        <w:numPr>
          <w:ilvl w:val="0"/>
          <w:numId w:val="1002"/>
        </w:numPr>
      </w:pPr>
      <w:r>
        <w:t xml:space="preserve">rising adoption of</w:t>
      </w:r>
      <w:r>
        <w:t xml:space="preserve"> </w:t>
      </w:r>
      <w:r>
        <w:rPr>
          <w:b/>
          <w:bCs/>
        </w:rPr>
        <w:t xml:space="preserve">guest travel insurance</w:t>
      </w:r>
      <w:r>
        <w:t xml:space="preserve">.</w:t>
      </w:r>
    </w:p>
    <w:p>
      <w:pPr>
        <w:pStyle w:val="FirstParagraph"/>
      </w:pPr>
      <w:r>
        <w:t xml:space="preserve">In Q1, Reserve Now, Pay Later, revised cancellation policies, and fee-structure changes collectively contributed an estimated</w:t>
      </w:r>
      <w:r>
        <w:t xml:space="preserve"> </w:t>
      </w:r>
      <w:r>
        <w:rPr>
          <w:b/>
          <w:bCs/>
        </w:rPr>
        <w:t xml:space="preserve">~3 points of Nights &amp; Seats Booked growth</w:t>
      </w:r>
      <w:r>
        <w:t xml:space="preserve"> </w:t>
      </w:r>
      <w:r>
        <w:t xml:space="preserve">and</w:t>
      </w:r>
      <w:r>
        <w:t xml:space="preserve"> </w:t>
      </w:r>
      <w:r>
        <w:rPr>
          <w:b/>
          <w:bCs/>
        </w:rPr>
        <w:t xml:space="preserve">~4 points of GBV growth</w:t>
      </w:r>
      <w:r>
        <w:t xml:space="preserve">, according to management. Reserve Now, Pay Later represented about 20% of global GBV in Q1 and is intended to improve conversion and lengthen booking lead times. The trade-off is that it shifts cash collection closer to the stay date, which can weigh on Q2 free cash flow and unearned fees even if demand is healthy. (</w:t>
      </w:r>
      <w:hyperlink r:id="rId10">
        <w:r>
          <w:rPr>
            <w:rStyle w:val="Hyperlink"/>
          </w:rPr>
          <w:t xml:space="preserve">investors.airbnb.com</w:t>
        </w:r>
      </w:hyperlink>
      <w:r>
        <w:t xml:space="preserve">)</w:t>
      </w:r>
    </w:p>
    <w:p>
      <w:pPr>
        <w:pStyle w:val="BodyText"/>
      </w:pPr>
      <w:r>
        <w:rPr>
          <w:b/>
          <w:bCs/>
        </w:rPr>
        <w:t xml:space="preserve">Investor interpretation:</w:t>
      </w:r>
      <w:r>
        <w:t xml:space="preserve"> </w:t>
      </w:r>
      <w:r>
        <w:t xml:space="preserve">A modest take-rate gain with stable booking growth would be a strong result. Conversely, a revenue beat driven mainly by FX or ADR, without clear evidence of take-rate improvement and transaction strength, would be less compelling.</w:t>
      </w:r>
    </w:p>
    <w:bookmarkEnd w:id="14"/>
    <w:bookmarkStart w:id="16" w:name="X428f7d207a4b67e4341d895770c0b705f894cd2"/>
    <w:p>
      <w:pPr>
        <w:pStyle w:val="Heading3"/>
      </w:pPr>
      <w:r>
        <w:t xml:space="preserve">3. Does the World Cup create a meaningful Q2 benefit—and a durable supply asset?</w:t>
      </w:r>
    </w:p>
    <w:p>
      <w:pPr>
        <w:pStyle w:val="FirstParagraph"/>
      </w:pPr>
      <w:r>
        <w:t xml:space="preserve">The FIFA World Cup ran from</w:t>
      </w:r>
      <w:r>
        <w:t xml:space="preserve"> </w:t>
      </w:r>
      <w:r>
        <w:rPr>
          <w:b/>
          <w:bCs/>
        </w:rPr>
        <w:t xml:space="preserve">June 11 through July 19</w:t>
      </w:r>
      <w:r>
        <w:t xml:space="preserve">, placing the event squarely in Q2. Before the event, Airbnb said it expected the World Cup to be its largest event ever and disclosed that more than 100,000 homes in the 16 host cities had listed on Airbnb for the first time. Management had also warned that event bookings tend to occur closer to the actual dates, making Q2 the first concrete test of that thesis. (</w:t>
      </w:r>
      <w:hyperlink r:id="rId15">
        <w:r>
          <w:rPr>
            <w:rStyle w:val="Hyperlink"/>
          </w:rPr>
          <w:t xml:space="preserve">news.airbnb.com</w:t>
        </w:r>
      </w:hyperlink>
      <w:r>
        <w:t xml:space="preserve">)</w:t>
      </w:r>
    </w:p>
    <w:p>
      <w:pPr>
        <w:pStyle w:val="BodyText"/>
      </w:pPr>
      <w:r>
        <w:t xml:space="preserve">The critical questions are:</w:t>
      </w:r>
    </w:p>
    <w:p>
      <w:pPr>
        <w:pStyle w:val="Compact"/>
        <w:numPr>
          <w:ilvl w:val="0"/>
          <w:numId w:val="1003"/>
        </w:numPr>
      </w:pPr>
      <w:r>
        <w:t xml:space="preserve">Was event demand incremental enough to move GBV or ADR?</w:t>
      </w:r>
    </w:p>
    <w:p>
      <w:pPr>
        <w:pStyle w:val="Compact"/>
        <w:numPr>
          <w:ilvl w:val="0"/>
          <w:numId w:val="1003"/>
        </w:numPr>
      </w:pPr>
      <w:r>
        <w:t xml:space="preserve">Did late bookings materialize as expected?</w:t>
      </w:r>
    </w:p>
    <w:p>
      <w:pPr>
        <w:pStyle w:val="Compact"/>
        <w:numPr>
          <w:ilvl w:val="0"/>
          <w:numId w:val="1003"/>
        </w:numPr>
      </w:pPr>
      <w:r>
        <w:t xml:space="preserve">How much of the newly added supply is likely to remain on the platform after the tournament?</w:t>
      </w:r>
    </w:p>
    <w:p>
      <w:pPr>
        <w:pStyle w:val="Compact"/>
        <w:numPr>
          <w:ilvl w:val="0"/>
          <w:numId w:val="1003"/>
        </w:numPr>
      </w:pPr>
      <w:r>
        <w:t xml:space="preserve">Did the event strengthen Airbnb’s position in supply-constrained cities and with local regulators?</w:t>
      </w:r>
    </w:p>
    <w:p>
      <w:pPr>
        <w:pStyle w:val="FirstParagraph"/>
      </w:pPr>
      <w:r>
        <w:t xml:space="preserve">A good event outcome can matter beyond one quarter: it can expand host supply, improve brand awareness, and create city-level policy relationships. But investors should distinguish a temporary event boost from a sustained improvement in core booking growth.</w:t>
      </w:r>
    </w:p>
    <w:p>
      <w:r>
        <w:pict>
          <v:rect style="width:0;height:1.5pt" o:hralign="center" o:hrstd="t" o:hr="t"/>
        </w:pict>
      </w:r>
    </w:p>
    <w:bookmarkEnd w:id="16"/>
    <w:bookmarkEnd w:id="17"/>
    <w:bookmarkStart w:id="19" w:name="Xcbc3a031cc0a4f8c4b785dc92389fc2ccfcc8ba"/>
    <w:p>
      <w:pPr>
        <w:pStyle w:val="Heading2"/>
      </w:pPr>
      <w:r>
        <w:t xml:space="preserve">Product expansion: strategically important, probably not yet financially material</w:t>
      </w:r>
    </w:p>
    <w:p>
      <w:pPr>
        <w:pStyle w:val="FirstParagraph"/>
      </w:pPr>
      <w:r>
        <w:t xml:space="preserve">Airbnb’s May 20 Summer Release expanded the platform beyond homes through grocery delivery, airport pickups, luggage storage, car rentals, new experiences, and boutique/independent hotels in 20 destinations. The company also introduced hotel price matching and promotional Airbnb credit for eligible hotel bookings. (</w:t>
      </w:r>
      <w:hyperlink r:id="rId18">
        <w:r>
          <w:rPr>
            <w:rStyle w:val="Hyperlink"/>
          </w:rPr>
          <w:t xml:space="preserve">news.airbnb.com</w:t>
        </w:r>
      </w:hyperlink>
      <w:r>
        <w:t xml:space="preserve">)</w:t>
      </w:r>
    </w:p>
    <w:p>
      <w:pPr>
        <w:pStyle w:val="BodyText"/>
      </w:pPr>
      <w:r>
        <w:t xml:space="preserve">These initiatives are unlikely to be major Q2 revenue contributors by themselves. Instead, investors should listen for early evidence that they can improve:</w:t>
      </w:r>
    </w:p>
    <w:p>
      <w:pPr>
        <w:pStyle w:val="Compact"/>
        <w:numPr>
          <w:ilvl w:val="0"/>
          <w:numId w:val="1004"/>
        </w:numPr>
      </w:pPr>
      <w:r>
        <w:rPr>
          <w:b/>
          <w:bCs/>
        </w:rPr>
        <w:t xml:space="preserve">guest acquisition</w:t>
      </w:r>
      <w:r>
        <w:t xml:space="preserve"> </w:t>
      </w:r>
      <w:r>
        <w:t xml:space="preserve">— particularly users entering through hotels or experiences;</w:t>
      </w:r>
    </w:p>
    <w:p>
      <w:pPr>
        <w:pStyle w:val="Compact"/>
        <w:numPr>
          <w:ilvl w:val="0"/>
          <w:numId w:val="1004"/>
        </w:numPr>
      </w:pPr>
      <w:r>
        <w:rPr>
          <w:b/>
          <w:bCs/>
        </w:rPr>
        <w:t xml:space="preserve">conversion</w:t>
      </w:r>
      <w:r>
        <w:t xml:space="preserve"> </w:t>
      </w:r>
      <w:r>
        <w:t xml:space="preserve">— filling accommodation gaps when a home is not the best option;</w:t>
      </w:r>
    </w:p>
    <w:p>
      <w:pPr>
        <w:pStyle w:val="Compact"/>
        <w:numPr>
          <w:ilvl w:val="0"/>
          <w:numId w:val="1004"/>
        </w:numPr>
      </w:pPr>
      <w:r>
        <w:rPr>
          <w:b/>
          <w:bCs/>
        </w:rPr>
        <w:t xml:space="preserve">repeat behavior and cross-sell</w:t>
      </w:r>
      <w:r>
        <w:t xml:space="preserve"> </w:t>
      </w:r>
      <w:r>
        <w:t xml:space="preserve">— converting hotel and experience customers into home-booking customers;</w:t>
      </w:r>
    </w:p>
    <w:p>
      <w:pPr>
        <w:pStyle w:val="Compact"/>
        <w:numPr>
          <w:ilvl w:val="0"/>
          <w:numId w:val="1004"/>
        </w:numPr>
      </w:pPr>
      <w:r>
        <w:rPr>
          <w:b/>
          <w:bCs/>
        </w:rPr>
        <w:t xml:space="preserve">longer-term revenue per user.</w:t>
      </w:r>
    </w:p>
    <w:p>
      <w:pPr>
        <w:pStyle w:val="FirstParagraph"/>
      </w:pPr>
      <w:r>
        <w:t xml:space="preserve">Management has said that approximately 55% of hotel bookers later book a home, while experiences can serve as an onboarding path for new guests. Those are promising data points, but Q2 commentary needs to establish whether this is scaling economically rather than merely expanding the product catalog. (</w:t>
      </w:r>
      <w:hyperlink r:id="rId15">
        <w:r>
          <w:rPr>
            <w:rStyle w:val="Hyperlink"/>
          </w:rPr>
          <w:t xml:space="preserve">news.airbnb.com</w:t>
        </w:r>
      </w:hyperlink>
      <w:r>
        <w:t xml:space="preserve">)</w:t>
      </w:r>
    </w:p>
    <w:p>
      <w:r>
        <w:pict>
          <v:rect style="width:0;height:1.5pt" o:hralign="center" o:hrstd="t" o:hr="t"/>
        </w:pict>
      </w:r>
    </w:p>
    <w:bookmarkEnd w:id="19"/>
    <w:bookmarkStart w:id="22" w:name="Xb8aa6dc337e01f2f7762de51ec7ae7914767818"/>
    <w:p>
      <w:pPr>
        <w:pStyle w:val="Heading2"/>
      </w:pPr>
      <w:r>
        <w:t xml:space="preserve">Margin and cash flow: two different stories</w:t>
      </w:r>
    </w:p>
    <w:bookmarkStart w:id="20" w:name="X7d88be56a773f2921d6efbc00f482b391a43d65"/>
    <w:p>
      <w:pPr>
        <w:pStyle w:val="Heading3"/>
      </w:pPr>
      <w:r>
        <w:t xml:space="preserve">Margins should remain healthy—but reinvestment is the swing factor</w:t>
      </w:r>
    </w:p>
    <w:p>
      <w:pPr>
        <w:pStyle w:val="FirstParagraph"/>
      </w:pPr>
      <w:r>
        <w:t xml:space="preserve">Airbnb expects Q2 adjusted EBITDA and EBITDA margin to increase year over year. The company’s structural advantages remain clear: a capital-light model, substantial interest income, and growing operating leverage from AI-enabled support. In Q1, management said its AI assistant resolved more than 40% of support contacts without human intervention and helped reduce cost per booking by roughly 10% year over year. (</w:t>
      </w:r>
      <w:hyperlink r:id="rId10">
        <w:r>
          <w:rPr>
            <w:rStyle w:val="Hyperlink"/>
          </w:rPr>
          <w:t xml:space="preserve">investors.airbnb.com</w:t>
        </w:r>
      </w:hyperlink>
      <w:r>
        <w:t xml:space="preserve">)</w:t>
      </w:r>
    </w:p>
    <w:p>
      <w:pPr>
        <w:pStyle w:val="BodyText"/>
      </w:pPr>
      <w:r>
        <w:t xml:space="preserve">However, management has also been explicit that it will reinvest incremental upside into:</w:t>
      </w:r>
    </w:p>
    <w:p>
      <w:pPr>
        <w:pStyle w:val="Compact"/>
        <w:numPr>
          <w:ilvl w:val="0"/>
          <w:numId w:val="1005"/>
        </w:numPr>
      </w:pPr>
      <w:r>
        <w:t xml:space="preserve">performance marketing;</w:t>
      </w:r>
    </w:p>
    <w:p>
      <w:pPr>
        <w:pStyle w:val="Compact"/>
        <w:numPr>
          <w:ilvl w:val="0"/>
          <w:numId w:val="1005"/>
        </w:numPr>
      </w:pPr>
      <w:r>
        <w:t xml:space="preserve">expansion markets;</w:t>
      </w:r>
    </w:p>
    <w:p>
      <w:pPr>
        <w:pStyle w:val="Compact"/>
        <w:numPr>
          <w:ilvl w:val="0"/>
          <w:numId w:val="1005"/>
        </w:numPr>
      </w:pPr>
      <w:r>
        <w:t xml:space="preserve">AI;</w:t>
      </w:r>
    </w:p>
    <w:p>
      <w:pPr>
        <w:pStyle w:val="Compact"/>
        <w:numPr>
          <w:ilvl w:val="0"/>
          <w:numId w:val="1005"/>
        </w:numPr>
      </w:pPr>
      <w:r>
        <w:t xml:space="preserve">new products and categories; and</w:t>
      </w:r>
    </w:p>
    <w:p>
      <w:pPr>
        <w:pStyle w:val="Compact"/>
        <w:numPr>
          <w:ilvl w:val="0"/>
          <w:numId w:val="1005"/>
        </w:numPr>
      </w:pPr>
      <w:r>
        <w:t xml:space="preserve">policy and regulatory work.</w:t>
      </w:r>
    </w:p>
    <w:p>
      <w:pPr>
        <w:pStyle w:val="FirstParagraph"/>
      </w:pPr>
      <w:r>
        <w:t xml:space="preserve">Therefore, the most favorable outcome is not necessarily maximum Q2 margin. It is</w:t>
      </w:r>
      <w:r>
        <w:t xml:space="preserve"> </w:t>
      </w:r>
      <w:r>
        <w:rPr>
          <w:b/>
          <w:bCs/>
        </w:rPr>
        <w:t xml:space="preserve">evidence that incremental investment is buying faster and more durable growth while preserving the full-year ≥35% EBITDA-margin framework</w:t>
      </w:r>
      <w:r>
        <w:t xml:space="preserve">.</w:t>
      </w:r>
    </w:p>
    <w:bookmarkEnd w:id="20"/>
    <w:bookmarkStart w:id="21" w:name="Xba5beb0a167890d0e128735733ce8ca96cf3328"/>
    <w:p>
      <w:pPr>
        <w:pStyle w:val="Heading3"/>
      </w:pPr>
      <w:r>
        <w:t xml:space="preserve">Do not overreact to potential Q2 free-cash-flow pressure</w:t>
      </w:r>
    </w:p>
    <w:p>
      <w:pPr>
        <w:pStyle w:val="FirstParagraph"/>
      </w:pPr>
      <w:r>
        <w:t xml:space="preserve">Reserve Now, Pay Later changes the timing of guest payment collection, lowering unearned fees and free cash flow in Q1 and Q2 before benefiting Q3 seasonally. As a result, a weak-looking quarterly cash-flow comparison may be more a working-capital timing issue than a deterioration in business quality. Investors should emphasize trailing cash generation and commentary on the expected Q3 reversal rather than treating quarterly FCF in isolation as a demand signal.</w:t>
      </w:r>
    </w:p>
    <w:p>
      <w:r>
        <w:pict>
          <v:rect style="width:0;height:1.5pt" o:hralign="center" o:hrstd="t" o:hr="t"/>
        </w:pict>
      </w:r>
    </w:p>
    <w:bookmarkEnd w:id="21"/>
    <w:bookmarkEnd w:id="22"/>
    <w:bookmarkStart w:id="23" w:name="what-would-constitute-a-bullish-report"/>
    <w:p>
      <w:pPr>
        <w:pStyle w:val="Heading2"/>
      </w:pPr>
      <w:r>
        <w:t xml:space="preserve">What would constitute a bullish report?</w:t>
      </w:r>
    </w:p>
    <w:p>
      <w:pPr>
        <w:pStyle w:val="FirstParagraph"/>
      </w:pPr>
      <w:r>
        <w:t xml:space="preserve">A bullish setup would likely include most of the following:</w:t>
      </w:r>
    </w:p>
    <w:p>
      <w:pPr>
        <w:pStyle w:val="Compact"/>
        <w:numPr>
          <w:ilvl w:val="0"/>
          <w:numId w:val="1006"/>
        </w:numPr>
      </w:pPr>
      <w:r>
        <w:t xml:space="preserve">Revenue above the</w:t>
      </w:r>
      <w:r>
        <w:t xml:space="preserve"> </w:t>
      </w:r>
      <w:r>
        <w:rPr>
          <w:b/>
          <w:bCs/>
        </w:rPr>
        <w:t xml:space="preserve">$3.60B</w:t>
      </w:r>
      <w:r>
        <w:t xml:space="preserve"> </w:t>
      </w:r>
      <w:r>
        <w:t xml:space="preserve">high end of guidance;</w:t>
      </w:r>
    </w:p>
    <w:p>
      <w:pPr>
        <w:pStyle w:val="Compact"/>
        <w:numPr>
          <w:ilvl w:val="0"/>
          <w:numId w:val="1006"/>
        </w:numPr>
      </w:pPr>
      <w:r>
        <w:t xml:space="preserve">Nights &amp; Seats Booked growth holding closer to Q1’s 9% rate than feared;</w:t>
      </w:r>
    </w:p>
    <w:p>
      <w:pPr>
        <w:pStyle w:val="Compact"/>
        <w:numPr>
          <w:ilvl w:val="0"/>
          <w:numId w:val="1006"/>
        </w:numPr>
      </w:pPr>
      <w:r>
        <w:t xml:space="preserve">healthy ex-FX ADR growth, rather than a revenue beat driven primarily by currency;</w:t>
      </w:r>
    </w:p>
    <w:p>
      <w:pPr>
        <w:pStyle w:val="Compact"/>
        <w:numPr>
          <w:ilvl w:val="0"/>
          <w:numId w:val="1006"/>
        </w:numPr>
      </w:pPr>
      <w:r>
        <w:t xml:space="preserve">modest take-rate expansion from fee migration and insurance;</w:t>
      </w:r>
    </w:p>
    <w:p>
      <w:pPr>
        <w:pStyle w:val="Compact"/>
        <w:numPr>
          <w:ilvl w:val="0"/>
          <w:numId w:val="1006"/>
        </w:numPr>
      </w:pPr>
      <w:r>
        <w:t xml:space="preserve">a World Cup contribution that supports both bookings and durable host supply;</w:t>
      </w:r>
    </w:p>
    <w:p>
      <w:pPr>
        <w:pStyle w:val="Compact"/>
        <w:numPr>
          <w:ilvl w:val="0"/>
          <w:numId w:val="1006"/>
        </w:numPr>
      </w:pPr>
      <w:r>
        <w:t xml:space="preserve">adjusted EBITDA margin expansion despite product and growth investments;</w:t>
      </w:r>
    </w:p>
    <w:p>
      <w:pPr>
        <w:pStyle w:val="Compact"/>
        <w:numPr>
          <w:ilvl w:val="0"/>
          <w:numId w:val="1006"/>
        </w:numPr>
      </w:pPr>
      <w:r>
        <w:t xml:space="preserve">maintained or increased full-year revenue-growth expectations; and</w:t>
      </w:r>
    </w:p>
    <w:p>
      <w:pPr>
        <w:pStyle w:val="Compact"/>
        <w:numPr>
          <w:ilvl w:val="0"/>
          <w:numId w:val="1006"/>
        </w:numPr>
      </w:pPr>
      <w:r>
        <w:t xml:space="preserve">Q3 guidance indicating that the Q1/Q2 acceleration can withstand tougher comparisons from last year’s Reserve Now, Pay Later rollout.</w:t>
      </w:r>
    </w:p>
    <w:bookmarkEnd w:id="23"/>
    <w:bookmarkStart w:id="24" w:name="what-would-disappoint-investors"/>
    <w:p>
      <w:pPr>
        <w:pStyle w:val="Heading2"/>
      </w:pPr>
      <w:r>
        <w:t xml:space="preserve">What would disappoint investors?</w:t>
      </w:r>
    </w:p>
    <w:p>
      <w:pPr>
        <w:pStyle w:val="FirstParagraph"/>
      </w:pPr>
      <w:r>
        <w:t xml:space="preserve">The downside scenario is an in-line Q2 headline result paired with evidence that momentum is fading:</w:t>
      </w:r>
    </w:p>
    <w:p>
      <w:pPr>
        <w:pStyle w:val="Compact"/>
        <w:numPr>
          <w:ilvl w:val="0"/>
          <w:numId w:val="1007"/>
        </w:numPr>
      </w:pPr>
      <w:r>
        <w:t xml:space="preserve">clear deceleration in Nights &amp; Seats Booked growth;</w:t>
      </w:r>
    </w:p>
    <w:p>
      <w:pPr>
        <w:pStyle w:val="Compact"/>
        <w:numPr>
          <w:ilvl w:val="0"/>
          <w:numId w:val="1007"/>
        </w:numPr>
      </w:pPr>
      <w:r>
        <w:t xml:space="preserve">weaker-than-expected EMEA/APAC demand or higher cancellations;</w:t>
      </w:r>
    </w:p>
    <w:p>
      <w:pPr>
        <w:pStyle w:val="Compact"/>
        <w:numPr>
          <w:ilvl w:val="0"/>
          <w:numId w:val="1007"/>
        </w:numPr>
      </w:pPr>
      <w:r>
        <w:t xml:space="preserve">ADR strength explained mostly by FX, with softer underlying pricing;</w:t>
      </w:r>
    </w:p>
    <w:p>
      <w:pPr>
        <w:pStyle w:val="Compact"/>
        <w:numPr>
          <w:ilvl w:val="0"/>
          <w:numId w:val="1007"/>
        </w:numPr>
      </w:pPr>
      <w:r>
        <w:t xml:space="preserve">no meaningful take-rate improvement;</w:t>
      </w:r>
    </w:p>
    <w:p>
      <w:pPr>
        <w:pStyle w:val="Compact"/>
        <w:numPr>
          <w:ilvl w:val="0"/>
          <w:numId w:val="1007"/>
        </w:numPr>
      </w:pPr>
      <w:r>
        <w:t xml:space="preserve">a weaker Q3 outlook because of tough comparisons, softer consumer travel, or post-World-Cup normalization;</w:t>
      </w:r>
    </w:p>
    <w:p>
      <w:pPr>
        <w:pStyle w:val="Compact"/>
        <w:numPr>
          <w:ilvl w:val="0"/>
          <w:numId w:val="1007"/>
        </w:numPr>
      </w:pPr>
      <w:r>
        <w:t xml:space="preserve">margin pressure from marketing, hotels, services, and AI investment without an accompanying growth payoff; or</w:t>
      </w:r>
    </w:p>
    <w:p>
      <w:pPr>
        <w:pStyle w:val="Compact"/>
        <w:numPr>
          <w:ilvl w:val="0"/>
          <w:numId w:val="1007"/>
        </w:numPr>
      </w:pPr>
      <w:r>
        <w:t xml:space="preserve">ambiguity around whether new products are accretive to conversion and guest lifetime value.</w:t>
      </w:r>
    </w:p>
    <w:p>
      <w:r>
        <w:pict>
          <v:rect style="width:0;height:1.5pt" o:hralign="center" o:hrstd="t" o:hr="t"/>
        </w:pict>
      </w:r>
    </w:p>
    <w:bookmarkEnd w:id="24"/>
    <w:bookmarkStart w:id="25" w:name="bottom-line"/>
    <w:p>
      <w:pPr>
        <w:pStyle w:val="Heading2"/>
      </w:pPr>
      <w:r>
        <w:t xml:space="preserve">Bottom line</w:t>
      </w:r>
    </w:p>
    <w:p>
      <w:pPr>
        <w:pStyle w:val="FirstParagraph"/>
      </w:pPr>
      <w:r>
        <w:rPr>
          <w:b/>
          <w:bCs/>
        </w:rPr>
        <w:t xml:space="preserve">ABNB’s Q2 report is a proof-of-durability quarter.</w:t>
      </w:r>
      <w:r>
        <w:t xml:space="preserve"> </w:t>
      </w:r>
      <w:r>
        <w:t xml:space="preserve">Management has already established a favorable base case: 14%–16% guided revenue growth, improving margins, a raised full-year outlook, several conversion and monetization levers, and a potentially meaningful World Cup catalyst. The stock’s reaction will likely depend on whether the report demonstrates that those levers can sustain</w:t>
      </w:r>
      <w:r>
        <w:t xml:space="preserve"> </w:t>
      </w:r>
      <w:r>
        <w:rPr>
          <w:b/>
          <w:bCs/>
        </w:rPr>
        <w:t xml:space="preserve">high-single-digit booking growth and low-to-mid-teens revenue growth into the back half of 2026</w:t>
      </w:r>
      <w:r>
        <w:t xml:space="preserve">.</w:t>
      </w:r>
    </w:p>
    <w:p>
      <w:pPr>
        <w:pStyle w:val="BodyText"/>
      </w:pPr>
      <w:r>
        <w:t xml:space="preserve">For investors, the priority order is:</w:t>
      </w:r>
    </w:p>
    <w:p>
      <w:pPr>
        <w:pStyle w:val="Compact"/>
        <w:numPr>
          <w:ilvl w:val="0"/>
          <w:numId w:val="1008"/>
        </w:numPr>
      </w:pPr>
      <w:r>
        <w:rPr>
          <w:b/>
          <w:bCs/>
        </w:rPr>
        <w:t xml:space="preserve">Q3 and full-year outlook;</w:t>
      </w:r>
    </w:p>
    <w:p>
      <w:pPr>
        <w:pStyle w:val="Compact"/>
        <w:numPr>
          <w:ilvl w:val="0"/>
          <w:numId w:val="1008"/>
        </w:numPr>
      </w:pPr>
      <w:r>
        <w:rPr>
          <w:b/>
          <w:bCs/>
        </w:rPr>
        <w:t xml:space="preserve">Nights &amp; Seats Booked and ex-FX GBV/ADR;</w:t>
      </w:r>
    </w:p>
    <w:p>
      <w:pPr>
        <w:pStyle w:val="Compact"/>
        <w:numPr>
          <w:ilvl w:val="0"/>
          <w:numId w:val="1008"/>
        </w:numPr>
      </w:pPr>
      <w:r>
        <w:rPr>
          <w:b/>
          <w:bCs/>
        </w:rPr>
        <w:t xml:space="preserve">take-rate progression;</w:t>
      </w:r>
    </w:p>
    <w:p>
      <w:pPr>
        <w:pStyle w:val="Compact"/>
        <w:numPr>
          <w:ilvl w:val="0"/>
          <w:numId w:val="1008"/>
        </w:numPr>
      </w:pPr>
      <w:r>
        <w:rPr>
          <w:b/>
          <w:bCs/>
        </w:rPr>
        <w:t xml:space="preserve">World Cup and international-demand commentary;</w:t>
      </w:r>
    </w:p>
    <w:p>
      <w:pPr>
        <w:pStyle w:val="Compact"/>
        <w:numPr>
          <w:ilvl w:val="0"/>
          <w:numId w:val="1008"/>
        </w:numPr>
      </w:pPr>
      <w:r>
        <w:rPr>
          <w:b/>
          <w:bCs/>
        </w:rPr>
        <w:t xml:space="preserve">margin discipline amid reinvestment;</w:t>
      </w:r>
    </w:p>
    <w:p>
      <w:pPr>
        <w:pStyle w:val="Compact"/>
        <w:numPr>
          <w:ilvl w:val="0"/>
          <w:numId w:val="1008"/>
        </w:numPr>
      </w:pPr>
      <w:r>
        <w:rPr>
          <w:b/>
          <w:bCs/>
        </w:rPr>
        <w:t xml:space="preserve">evidence that hotels, services, and experiences improve the core marketplace rather than dilute focus.</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investors.airbnb.com/press-releases/news-details/2026/Airbnb-Announces-First-Quarter-2026-Results/default.aspx?utm_source=openai" TargetMode="External" /><Relationship Type="http://schemas.openxmlformats.org/officeDocument/2006/relationships/hyperlink" Id="rId9" Target="https://investors.airbnb.com/press-releases/news-details/2026/Airbnb-to-Announce-Second-Quarter-2026-Results/default.aspx?utm_source=openai" TargetMode="External" /><Relationship Type="http://schemas.openxmlformats.org/officeDocument/2006/relationships/hyperlink" Id="rId18" Target="https://news.airbnb.com/airbnb-2026-summer-release/?utm_source=openai" TargetMode="External" /><Relationship Type="http://schemas.openxmlformats.org/officeDocument/2006/relationships/hyperlink" Id="rId15" Target="https://news.airbnb.com/airbnb-q1-2026-financial-results/?utm_source=openai" TargetMode="External" /></Relationships>
</file>

<file path=word/_rels/footnotes.xml.rels><?xml version="1.0" encoding="UTF-8"?><Relationships xmlns="http://schemas.openxmlformats.org/package/2006/relationships"><Relationship Type="http://schemas.openxmlformats.org/officeDocument/2006/relationships/hyperlink" Id="rId10" Target="https://investors.airbnb.com/press-releases/news-details/2026/Airbnb-Announces-First-Quarter-2026-Results/default.aspx?utm_source=openai" TargetMode="External" /><Relationship Type="http://schemas.openxmlformats.org/officeDocument/2006/relationships/hyperlink" Id="rId9" Target="https://investors.airbnb.com/press-releases/news-details/2026/Airbnb-to-Announce-Second-Quarter-2026-Results/default.aspx?utm_source=openai" TargetMode="External" /><Relationship Type="http://schemas.openxmlformats.org/officeDocument/2006/relationships/hyperlink" Id="rId18" Target="https://news.airbnb.com/airbnb-2026-summer-release/?utm_source=openai" TargetMode="External" /><Relationship Type="http://schemas.openxmlformats.org/officeDocument/2006/relationships/hyperlink" Id="rId15" Target="https://news.airbnb.com/airbnb-q1-2026-financial-result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2026-08-06T01:13:47Z</dcterms:created>
  <dcterms:modified xsi:type="dcterms:W3CDTF">2026-08-06T01:13:47Z</dcterms:modified>
</cp:coreProperties>
</file>

<file path=docProps/custom.xml><?xml version="1.0" encoding="utf-8"?>
<Properties xmlns="http://schemas.openxmlformats.org/officeDocument/2006/custom-properties" xmlns:vt="http://schemas.openxmlformats.org/officeDocument/2006/docPropsVTypes"/>
</file>