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Airbnb, Inc. (ABNB)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Airbnb, Inc. (ABNB)</w:t>
            </w:r>
          </w:p>
        </w:tc>
      </w:tr>
      <w:tr>
        <w:tc>
          <w:tcPr>
            <w:tcW w:type="dxa" w:w="4320"/>
          </w:tcPr>
          <w:p>
            <w:r>
              <w:rPr>
                <w:rFonts w:ascii="Calibri" w:hAnsi="Calibri"/>
                <w:b/>
                <w:sz w:val="22"/>
              </w:rPr>
              <w:t>Reporting Period</w:t>
            </w:r>
          </w:p>
        </w:tc>
        <w:tc>
          <w:tcPr>
            <w:tcW w:type="dxa" w:w="4320"/>
          </w:tcPr>
          <w:p>
            <w:r>
              <w:rPr>
                <w:rFonts w:ascii="Calibri" w:hAnsi="Calibri"/>
                <w:sz w:val="22"/>
              </w:rPr>
              <w:t>Q2 2026 (April – June 2026)</w:t>
            </w:r>
          </w:p>
        </w:tc>
      </w:tr>
      <w:tr>
        <w:tc>
          <w:tcPr>
            <w:tcW w:type="dxa" w:w="4320"/>
          </w:tcPr>
          <w:p>
            <w:r>
              <w:rPr>
                <w:rFonts w:ascii="Calibri" w:hAnsi="Calibri"/>
                <w:b/>
                <w:sz w:val="22"/>
              </w:rPr>
              <w:t>Earnings Date</w:t>
            </w:r>
          </w:p>
        </w:tc>
        <w:tc>
          <w:tcPr>
            <w:tcW w:type="dxa" w:w="4320"/>
          </w:tcPr>
          <w:p>
            <w:r>
              <w:rPr>
                <w:rFonts w:ascii="Calibri" w:hAnsi="Calibri"/>
                <w:sz w:val="22"/>
              </w:rPr>
              <w:t>August 6, 2026 — After Market Close</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Q1 2026 — May 7,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favors a beat — consensus sits at the low end of guidance, peer read-throughs from BKNG and EXPE confirm domestic travel resilience and ADR strength, and the World Cup is a direct Q2 tailwind; the biggest swing factor is whether nights booked growth can hold near Q1’s 9% pace despite the ongoing Middle East headwind.</w:t>
      </w:r>
    </w:p>
    <w:p>
      <w:r>
        <w:rPr>
          <w:rFonts w:ascii="Calibri" w:hAnsi="Calibri"/>
          <w:color w:val="525866"/>
          <w:sz w:val="22"/>
        </w:rPr>
        <w:t xml:space="preserve">Heading into Q2 2026 results, the bar looks achievable: consensus revenue of ~$3.58B sits at the midpoint of ABNB’s own guidance range of $3.54–$3.60B, and management guided for adjusted EBITDA and margin to be up year-over-year, leaving room for a modest beat on both lines. The Q1 2026 print was a strong one — revenue grew 18% YoY, beating the high end of guidance by 2 points, driven by Reserve Now Pay Later, cancellation policy redesign, and the single service fee migration — and management raised full-year revenue growth guidance to low-to-mid teens with an adjusted EBITDA margin floor of at least 35%, signaling confidence in the durability of product-driven monetization gains. Estimate revisions have been stable-to-slightly-positive since the Q1 print, with the 2Q 2026 consensus revenue estimate moving from $3.574B to $3.579B, suggesting the street is largely aligned with guidance rather than pricing in upside. The stock has underperformed peers since the Q1 print (ABNB +8.6% vs. BKNG +20.9% and EXPE +26.5% indexed from May 7), reflecting some skepticism about nights booked growth deceleration and the Middle East headwind, which means the stock is not priced for a blowout but also not pricing in a miss. The key wildcard is the </w:t>
      </w:r>
      <w:r>
        <w:rPr>
          <w:rFonts w:ascii="Calibri" w:hAnsi="Calibri"/>
          <w:b/>
          <w:color w:val="525866"/>
          <w:sz w:val="22"/>
        </w:rPr>
        <w:t>World Cup</w:t>
      </w:r>
      <w:r>
        <w:rPr>
          <w:rFonts w:ascii="Calibri" w:hAnsi="Calibri"/>
          <w:color w:val="525866"/>
          <w:sz w:val="22"/>
        </w:rPr>
        <w:t>: management called it the largest event in Airbnb’s history, with over 100,000 new listings added in host cities, but EXPE’s Q2 commentary noted the event showed up more in ADR than room nights, and many bookings came after the tournament began — meaning the Q2 benefit may be partially deferred into Q3.</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midpoint of guidance on revenue and implies a modest YoY improvement in adjusted EBITDA margin — a low bar relative to Q1’s outperformance. </w:t>
      </w:r>
      <w:r>
        <w:rPr>
          <w:rFonts w:ascii="Calibri" w:hAnsi="Calibri"/>
          <w:b/>
          <w:color w:val="525866"/>
          <w:sz w:val="22"/>
        </w:rPr>
        <w:t>Nights and Experiences Booked</w:t>
      </w:r>
      <w:r>
        <w:rPr>
          <w:rFonts w:ascii="Calibri" w:hAnsi="Calibri"/>
          <w:color w:val="525866"/>
          <w:sz w:val="22"/>
        </w:rPr>
        <w:t xml:space="preserve"> is the bigger swing factor: guidance calls for slight deceleration from Q1’s 9%, and any upside surprise there would drive GBV and revenue above the midpoint.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$2.678B</w:t>
            </w:r>
          </w:p>
        </w:tc>
        <w:tc>
          <w:tcPr>
            <w:tcW w:type="dxa" w:w="1234"/>
          </w:tcPr>
          <w:p>
            <w:r>
              <w:rPr>
                <w:rFonts w:ascii="Calibri" w:hAnsi="Calibri"/>
                <w:sz w:val="22"/>
              </w:rPr>
              <w:t>$3.096B</w:t>
            </w:r>
          </w:p>
        </w:tc>
        <w:tc>
          <w:tcPr>
            <w:tcW w:type="dxa" w:w="1234"/>
          </w:tcPr>
          <w:p>
            <w:r>
              <w:rPr>
                <w:rFonts w:ascii="Calibri" w:hAnsi="Calibri"/>
                <w:sz w:val="22"/>
              </w:rPr>
              <w:t>$3.579B</w:t>
            </w:r>
          </w:p>
        </w:tc>
        <w:tc>
          <w:tcPr>
            <w:tcW w:type="dxa" w:w="1234"/>
          </w:tcPr>
          <w:p>
            <w:r>
              <w:rPr>
                <w:rFonts w:ascii="Calibri" w:hAnsi="Calibri"/>
                <w:sz w:val="22"/>
              </w:rPr>
              <w:t>+15.6%</w:t>
            </w:r>
          </w:p>
        </w:tc>
        <w:tc>
          <w:tcPr>
            <w:tcW w:type="dxa" w:w="1234"/>
          </w:tcPr>
          <w:p>
            <w:r>
              <w:rPr>
                <w:rFonts w:ascii="Calibri" w:hAnsi="Calibri"/>
                <w:sz w:val="22"/>
              </w:rPr>
              <w:t>$3.54B – $3.60B</w:t>
            </w:r>
          </w:p>
        </w:tc>
        <w:tc>
          <w:tcPr>
            <w:tcW w:type="dxa" w:w="1234"/>
          </w:tcPr>
          <w:p>
            <w:r>
              <w:rPr>
                <w:rFonts w:ascii="Calibri" w:hAnsi="Calibri"/>
                <w:sz w:val="22"/>
              </w:rPr>
              <w:t>-0.3% (at midpoint of $3.57B)</w:t>
            </w:r>
          </w:p>
        </w:tc>
      </w:tr>
      <w:tr>
        <w:tc>
          <w:tcPr>
            <w:tcW w:type="dxa" w:w="1234"/>
          </w:tcPr>
          <w:p>
            <w:r>
              <w:rPr>
                <w:rFonts w:ascii="Calibri" w:hAnsi="Calibri"/>
                <w:sz w:val="22"/>
              </w:rPr>
              <w:t>Nights &amp; Experiences Booked (M)</w:t>
            </w:r>
          </w:p>
        </w:tc>
        <w:tc>
          <w:tcPr>
            <w:tcW w:type="dxa" w:w="1234"/>
          </w:tcPr>
          <w:p>
            <w:r>
              <w:rPr>
                <w:rFonts w:ascii="Calibri" w:hAnsi="Calibri"/>
                <w:sz w:val="22"/>
              </w:rPr>
              <w:t>156.2M</w:t>
            </w:r>
          </w:p>
        </w:tc>
        <w:tc>
          <w:tcPr>
            <w:tcW w:type="dxa" w:w="1234"/>
          </w:tcPr>
          <w:p>
            <w:r>
              <w:rPr>
                <w:rFonts w:ascii="Calibri" w:hAnsi="Calibri"/>
                <w:sz w:val="22"/>
              </w:rPr>
              <w:t>134.4M</w:t>
            </w:r>
          </w:p>
        </w:tc>
        <w:tc>
          <w:tcPr>
            <w:tcW w:type="dxa" w:w="1234"/>
          </w:tcPr>
          <w:p>
            <w:r>
              <w:rPr>
                <w:rFonts w:ascii="Calibri" w:hAnsi="Calibri"/>
                <w:sz w:val="22"/>
              </w:rPr>
              <w:t>145.7M</w:t>
            </w:r>
          </w:p>
        </w:tc>
        <w:tc>
          <w:tcPr>
            <w:tcW w:type="dxa" w:w="1234"/>
          </w:tcPr>
          <w:p>
            <w:r>
              <w:rPr>
                <w:rFonts w:ascii="Calibri" w:hAnsi="Calibri"/>
                <w:sz w:val="22"/>
              </w:rPr>
              <w:t>+8.4%</w:t>
            </w:r>
          </w:p>
        </w:tc>
        <w:tc>
          <w:tcPr>
            <w:tcW w:type="dxa" w:w="1234"/>
          </w:tcPr>
          <w:p>
            <w:r>
              <w:rPr>
                <w:rFonts w:ascii="Calibri" w:hAnsi="Calibri"/>
                <w:sz w:val="22"/>
              </w:rPr>
              <w:t>Slight decel from Q1’s 9%; ~100bps ME headwind assumed</w:t>
            </w:r>
          </w:p>
        </w:tc>
        <w:tc>
          <w:tcPr>
            <w:tcW w:type="dxa" w:w="1234"/>
          </w:tcPr>
          <w:p>
            <w:r>
              <w:rPr>
                <w:rFonts w:ascii="Calibri" w:hAnsi="Calibri"/>
                <w:sz w:val="22"/>
              </w:rPr>
              <w:t>N/A (volume guidance qualitative)</w:t>
            </w:r>
          </w:p>
        </w:tc>
      </w:tr>
      <w:tr>
        <w:tc>
          <w:tcPr>
            <w:tcW w:type="dxa" w:w="1234"/>
          </w:tcPr>
          <w:p>
            <w:r>
              <w:rPr>
                <w:rFonts w:ascii="Calibri" w:hAnsi="Calibri"/>
                <w:sz w:val="22"/>
              </w:rPr>
              <w:t>Gross Booking Value ($B)</w:t>
            </w:r>
          </w:p>
        </w:tc>
        <w:tc>
          <w:tcPr>
            <w:tcW w:type="dxa" w:w="1234"/>
          </w:tcPr>
          <w:p>
            <w:r>
              <w:rPr>
                <w:rFonts w:ascii="Calibri" w:hAnsi="Calibri"/>
                <w:sz w:val="22"/>
              </w:rPr>
              <w:t>$29.18B</w:t>
            </w:r>
          </w:p>
        </w:tc>
        <w:tc>
          <w:tcPr>
            <w:tcW w:type="dxa" w:w="1234"/>
          </w:tcPr>
          <w:p>
            <w:r>
              <w:rPr>
                <w:rFonts w:ascii="Calibri" w:hAnsi="Calibri"/>
                <w:sz w:val="22"/>
              </w:rPr>
              <w:t>$23.50B</w:t>
            </w:r>
          </w:p>
        </w:tc>
        <w:tc>
          <w:tcPr>
            <w:tcW w:type="dxa" w:w="1234"/>
          </w:tcPr>
          <w:p>
            <w:r>
              <w:rPr>
                <w:rFonts w:ascii="Calibri" w:hAnsi="Calibri"/>
                <w:sz w:val="22"/>
              </w:rPr>
              <w:t>$26.48B</w:t>
            </w:r>
          </w:p>
        </w:tc>
        <w:tc>
          <w:tcPr>
            <w:tcW w:type="dxa" w:w="1234"/>
          </w:tcPr>
          <w:p>
            <w:r>
              <w:rPr>
                <w:rFonts w:ascii="Calibri" w:hAnsi="Calibri"/>
                <w:sz w:val="22"/>
              </w:rPr>
              <w:t>+12.7%</w:t>
            </w:r>
          </w:p>
        </w:tc>
        <w:tc>
          <w:tcPr>
            <w:tcW w:type="dxa" w:w="1234"/>
          </w:tcPr>
          <w:p>
            <w:r>
              <w:rPr>
                <w:rFonts w:ascii="Calibri" w:hAnsi="Calibri"/>
                <w:sz w:val="22"/>
              </w:rPr>
              <w:t>Low double digits YoY</w:t>
            </w:r>
          </w:p>
        </w:tc>
        <w:tc>
          <w:tcPr>
            <w:tcW w:type="dxa" w:w="1234"/>
          </w:tcPr>
          <w:p>
            <w:r>
              <w:rPr>
                <w:rFonts w:ascii="Calibri" w:hAnsi="Calibri"/>
                <w:sz w:val="22"/>
              </w:rPr>
              <w:t>~+12.7% vs. low-double-digit guidance — in-line</w:t>
            </w:r>
          </w:p>
        </w:tc>
      </w:tr>
      <w:tr>
        <w:tc>
          <w:tcPr>
            <w:tcW w:type="dxa" w:w="1234"/>
          </w:tcPr>
          <w:p>
            <w:r>
              <w:rPr>
                <w:rFonts w:ascii="Calibri" w:hAnsi="Calibri"/>
                <w:sz w:val="22"/>
              </w:rPr>
              <w:t>Adjusted EBITDA ($B)</w:t>
            </w:r>
          </w:p>
        </w:tc>
        <w:tc>
          <w:tcPr>
            <w:tcW w:type="dxa" w:w="1234"/>
          </w:tcPr>
          <w:p>
            <w:r>
              <w:rPr>
                <w:rFonts w:ascii="Calibri" w:hAnsi="Calibri"/>
                <w:sz w:val="22"/>
              </w:rPr>
              <w:t>$0.519B</w:t>
            </w:r>
          </w:p>
        </w:tc>
        <w:tc>
          <w:tcPr>
            <w:tcW w:type="dxa" w:w="1234"/>
          </w:tcPr>
          <w:p>
            <w:r>
              <w:rPr>
                <w:rFonts w:ascii="Calibri" w:hAnsi="Calibri"/>
                <w:sz w:val="22"/>
              </w:rPr>
              <w:t>$1.043B</w:t>
            </w:r>
          </w:p>
        </w:tc>
        <w:tc>
          <w:tcPr>
            <w:tcW w:type="dxa" w:w="1234"/>
          </w:tcPr>
          <w:p>
            <w:r>
              <w:rPr>
                <w:rFonts w:ascii="Calibri" w:hAnsi="Calibri"/>
                <w:sz w:val="22"/>
              </w:rPr>
              <w:t>$1.229B</w:t>
            </w:r>
          </w:p>
        </w:tc>
        <w:tc>
          <w:tcPr>
            <w:tcW w:type="dxa" w:w="1234"/>
          </w:tcPr>
          <w:p>
            <w:r>
              <w:rPr>
                <w:rFonts w:ascii="Calibri" w:hAnsi="Calibri"/>
                <w:sz w:val="22"/>
              </w:rPr>
              <w:t>+17.8%</w:t>
            </w:r>
          </w:p>
        </w:tc>
        <w:tc>
          <w:tcPr>
            <w:tcW w:type="dxa" w:w="1234"/>
          </w:tcPr>
          <w:p>
            <w:r>
              <w:rPr>
                <w:rFonts w:ascii="Calibri" w:hAnsi="Calibri"/>
                <w:sz w:val="22"/>
              </w:rPr>
              <w:t>Up YoY; margin up YoY</w:t>
            </w:r>
          </w:p>
        </w:tc>
        <w:tc>
          <w:tcPr>
            <w:tcW w:type="dxa" w:w="1234"/>
          </w:tcPr>
          <w:p>
            <w:r>
              <w:rPr>
                <w:rFonts w:ascii="Calibri" w:hAnsi="Calibri"/>
                <w:sz w:val="22"/>
              </w:rPr>
              <w:t>N/A (no $ guidance given)</w:t>
            </w:r>
          </w:p>
        </w:tc>
      </w:tr>
      <w:tr>
        <w:tc>
          <w:tcPr>
            <w:tcW w:type="dxa" w:w="1234"/>
          </w:tcPr>
          <w:p>
            <w:r>
              <w:rPr>
                <w:rFonts w:ascii="Calibri" w:hAnsi="Calibri"/>
                <w:sz w:val="22"/>
              </w:rPr>
              <w:t>Adj. EBITDA Margin (%)</w:t>
            </w:r>
          </w:p>
        </w:tc>
        <w:tc>
          <w:tcPr>
            <w:tcW w:type="dxa" w:w="1234"/>
          </w:tcPr>
          <w:p>
            <w:r>
              <w:rPr>
                <w:rFonts w:ascii="Calibri" w:hAnsi="Calibri"/>
                <w:sz w:val="22"/>
              </w:rPr>
              <w:t>19.4%</w:t>
            </w:r>
          </w:p>
        </w:tc>
        <w:tc>
          <w:tcPr>
            <w:tcW w:type="dxa" w:w="1234"/>
          </w:tcPr>
          <w:p>
            <w:r>
              <w:rPr>
                <w:rFonts w:ascii="Calibri" w:hAnsi="Calibri"/>
                <w:sz w:val="22"/>
              </w:rPr>
              <w:t>33.7%</w:t>
            </w:r>
          </w:p>
        </w:tc>
        <w:tc>
          <w:tcPr>
            <w:tcW w:type="dxa" w:w="1234"/>
          </w:tcPr>
          <w:p>
            <w:r>
              <w:rPr>
                <w:rFonts w:ascii="Calibri" w:hAnsi="Calibri"/>
                <w:sz w:val="22"/>
              </w:rPr>
              <w:t>~34.3%</w:t>
            </w:r>
          </w:p>
        </w:tc>
        <w:tc>
          <w:tcPr>
            <w:tcW w:type="dxa" w:w="1234"/>
          </w:tcPr>
          <w:p>
            <w:r>
              <w:rPr>
                <w:rFonts w:ascii="Calibri" w:hAnsi="Calibri"/>
                <w:sz w:val="22"/>
              </w:rPr>
              <w:t>+60bps YoY</w:t>
            </w:r>
          </w:p>
        </w:tc>
        <w:tc>
          <w:tcPr>
            <w:tcW w:type="dxa" w:w="1234"/>
          </w:tcPr>
          <w:p>
            <w:r>
              <w:rPr>
                <w:rFonts w:ascii="Calibri" w:hAnsi="Calibri"/>
                <w:sz w:val="22"/>
              </w:rPr>
              <w:t>Up YoY</w:t>
            </w:r>
          </w:p>
        </w:tc>
        <w:tc>
          <w:tcPr>
            <w:tcW w:type="dxa" w:w="1234"/>
          </w:tcPr>
          <w:p>
            <w:r>
              <w:rPr>
                <w:rFonts w:ascii="Calibri" w:hAnsi="Calibri"/>
                <w:sz w:val="22"/>
              </w:rPr>
              <w:t>In-line with guidance direction</w:t>
            </w:r>
          </w:p>
        </w:tc>
      </w:tr>
      <w:tr>
        <w:tc>
          <w:tcPr>
            <w:tcW w:type="dxa" w:w="1234"/>
          </w:tcPr>
          <w:p>
            <w:r>
              <w:rPr>
                <w:rFonts w:ascii="Calibri" w:hAnsi="Calibri"/>
                <w:sz w:val="22"/>
              </w:rPr>
              <w:t>EPS — Diluted Operating ($)</w:t>
            </w:r>
          </w:p>
        </w:tc>
        <w:tc>
          <w:tcPr>
            <w:tcW w:type="dxa" w:w="1234"/>
          </w:tcPr>
          <w:p>
            <w:r>
              <w:rPr>
                <w:rFonts w:ascii="Calibri" w:hAnsi="Calibri"/>
                <w:sz w:val="22"/>
              </w:rPr>
              <w:t>$0.81</w:t>
            </w:r>
          </w:p>
        </w:tc>
        <w:tc>
          <w:tcPr>
            <w:tcW w:type="dxa" w:w="1234"/>
          </w:tcPr>
          <w:p>
            <w:r>
              <w:rPr>
                <w:rFonts w:ascii="Calibri" w:hAnsi="Calibri"/>
                <w:sz w:val="22"/>
              </w:rPr>
              <w:t>$1.53</w:t>
            </w:r>
          </w:p>
        </w:tc>
        <w:tc>
          <w:tcPr>
            <w:tcW w:type="dxa" w:w="1234"/>
          </w:tcPr>
          <w:p>
            <w:r>
              <w:rPr>
                <w:rFonts w:ascii="Calibri" w:hAnsi="Calibri"/>
                <w:sz w:val="22"/>
              </w:rPr>
              <w:t>$1.84</w:t>
            </w:r>
          </w:p>
        </w:tc>
        <w:tc>
          <w:tcPr>
            <w:tcW w:type="dxa" w:w="1234"/>
          </w:tcPr>
          <w:p>
            <w:r>
              <w:rPr>
                <w:rFonts w:ascii="Calibri" w:hAnsi="Calibri"/>
                <w:sz w:val="22"/>
              </w:rPr>
              <w:t>+20.3%</w:t>
            </w:r>
          </w:p>
        </w:tc>
        <w:tc>
          <w:tcPr>
            <w:tcW w:type="dxa" w:w="1234"/>
          </w:tcPr>
          <w:p>
            <w:r>
              <w:rPr>
                <w:rFonts w:ascii="Calibri" w:hAnsi="Calibri"/>
                <w:sz w:val="22"/>
              </w:rPr>
              <w:t>Not explicitly guided</w:t>
            </w:r>
          </w:p>
        </w:tc>
        <w:tc>
          <w:tcPr>
            <w:tcW w:type="dxa" w:w="1234"/>
          </w:tcPr>
          <w:p>
            <w:r>
              <w:rPr>
                <w:rFonts w:ascii="Calibri" w:hAnsi="Calibri"/>
                <w:sz w:val="22"/>
              </w:rPr>
              <w:t>N/A</w:t>
            </w:r>
          </w:p>
        </w:tc>
      </w:tr>
      <w:tr>
        <w:tc>
          <w:tcPr>
            <w:tcW w:type="dxa" w:w="1234"/>
          </w:tcPr>
          <w:p>
            <w:r>
              <w:rPr>
                <w:rFonts w:ascii="Calibri" w:hAnsi="Calibri"/>
                <w:sz w:val="22"/>
              </w:rPr>
              <w:t>Take Rate (%)</w:t>
            </w:r>
          </w:p>
        </w:tc>
        <w:tc>
          <w:tcPr>
            <w:tcW w:type="dxa" w:w="1234"/>
          </w:tcPr>
          <w:p>
            <w:r>
              <w:rPr>
                <w:rFonts w:ascii="Calibri" w:hAnsi="Calibri"/>
                <w:sz w:val="22"/>
              </w:rPr>
              <w:t>9.2%</w:t>
            </w:r>
          </w:p>
        </w:tc>
        <w:tc>
          <w:tcPr>
            <w:tcW w:type="dxa" w:w="1234"/>
          </w:tcPr>
          <w:p>
            <w:r>
              <w:rPr>
                <w:rFonts w:ascii="Calibri" w:hAnsi="Calibri"/>
                <w:sz w:val="22"/>
              </w:rPr>
              <w:t>13.2%</w:t>
            </w:r>
          </w:p>
        </w:tc>
        <w:tc>
          <w:tcPr>
            <w:tcW w:type="dxa" w:w="1234"/>
          </w:tcPr>
          <w:p>
            <w:r>
              <w:rPr>
                <w:rFonts w:ascii="Calibri" w:hAnsi="Calibri"/>
                <w:sz w:val="22"/>
              </w:rPr>
              <w:t>13.5%</w:t>
            </w:r>
          </w:p>
        </w:tc>
        <w:tc>
          <w:tcPr>
            <w:tcW w:type="dxa" w:w="1234"/>
          </w:tcPr>
          <w:p>
            <w:r>
              <w:rPr>
                <w:rFonts w:ascii="Calibri" w:hAnsi="Calibri"/>
                <w:sz w:val="22"/>
              </w:rPr>
              <w:t>+30bps YoY</w:t>
            </w:r>
          </w:p>
        </w:tc>
        <w:tc>
          <w:tcPr>
            <w:tcW w:type="dxa" w:w="1234"/>
          </w:tcPr>
          <w:p>
            <w:r>
              <w:rPr>
                <w:rFonts w:ascii="Calibri" w:hAnsi="Calibri"/>
                <w:sz w:val="22"/>
              </w:rPr>
              <w:t>Full-year take rate lift expected from single service fee &amp; insurance</w:t>
            </w:r>
          </w:p>
        </w:tc>
        <w:tc>
          <w:tcPr>
            <w:tcW w:type="dxa" w:w="1234"/>
          </w:tcPr>
          <w:p>
            <w:r>
              <w:rPr>
                <w:rFonts w:ascii="Calibri" w:hAnsi="Calibri"/>
                <w:sz w:val="22"/>
              </w:rPr>
              <w:t>N/A (annual guidance only)</w:t>
            </w:r>
          </w:p>
        </w:tc>
      </w:tr>
      <w:tr>
        <w:tc>
          <w:tcPr>
            <w:tcW w:type="dxa" w:w="1234"/>
          </w:tcPr>
          <w:p>
            <w:r>
              <w:rPr>
                <w:rFonts w:ascii="Calibri" w:hAnsi="Calibri"/>
                <w:sz w:val="22"/>
              </w:rPr>
              <w:t>Free Cash Flow ($B)</w:t>
            </w:r>
          </w:p>
        </w:tc>
        <w:tc>
          <w:tcPr>
            <w:tcW w:type="dxa" w:w="1234"/>
          </w:tcPr>
          <w:p>
            <w:r>
              <w:rPr>
                <w:rFonts w:ascii="Calibri" w:hAnsi="Calibri"/>
                <w:sz w:val="22"/>
              </w:rPr>
              <w:t>$1.704B</w:t>
            </w:r>
          </w:p>
        </w:tc>
        <w:tc>
          <w:tcPr>
            <w:tcW w:type="dxa" w:w="1234"/>
          </w:tcPr>
          <w:p>
            <w:r>
              <w:rPr>
                <w:rFonts w:ascii="Calibri" w:hAnsi="Calibri"/>
                <w:sz w:val="22"/>
              </w:rPr>
              <w:t>$0.962B</w:t>
            </w:r>
          </w:p>
        </w:tc>
        <w:tc>
          <w:tcPr>
            <w:tcW w:type="dxa" w:w="1234"/>
          </w:tcPr>
          <w:p>
            <w:r>
              <w:rPr>
                <w:rFonts w:ascii="Calibri" w:hAnsi="Calibri"/>
                <w:sz w:val="22"/>
              </w:rPr>
              <w:t>$1.545B</w:t>
            </w:r>
          </w:p>
        </w:tc>
        <w:tc>
          <w:tcPr>
            <w:tcW w:type="dxa" w:w="1234"/>
          </w:tcPr>
          <w:p>
            <w:r>
              <w:rPr>
                <w:rFonts w:ascii="Calibri" w:hAnsi="Calibri"/>
                <w:sz w:val="22"/>
              </w:rPr>
              <w:t>+60.6%</w:t>
            </w:r>
          </w:p>
        </w:tc>
        <w:tc>
          <w:tcPr>
            <w:tcW w:type="dxa" w:w="1234"/>
          </w:tcPr>
          <w:p>
            <w:r>
              <w:rPr>
                <w:rFonts w:ascii="Calibri" w:hAnsi="Calibri"/>
                <w:sz w:val="22"/>
              </w:rPr>
              <w:t>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Q2 2026 consensus as of August 5, 2026. Q1 2026 Actual and Q2 2025 Actual from Visible Alpha reported figures. Adj. EBITDA margin derived from EBITDA / Revenue. Take rate = Revenue / GBV.</w:t>
      </w:r>
    </w:p>
    <w:p>
      <w:pPr>
        <w:pStyle w:val="Heading3"/>
      </w:pPr>
      <w:r>
        <w:rPr>
          <w:rFonts w:ascii="Calibri" w:hAnsi="Calibri"/>
          <w:b/>
          <w:color w:val="3B4259"/>
          <w:sz w:val="24"/>
        </w:rPr>
        <w:t>Table 2 — Beat/Miss History (Last 8 Quarters — Top 2 KPIs)</w:t>
      </w:r>
    </w:p>
    <w:p>
      <w:r>
        <w:rPr>
          <w:rFonts w:ascii="Calibri" w:hAnsi="Calibri"/>
          <w:b/>
          <w:color w:val="525866"/>
          <w:sz w:val="22"/>
        </w:rPr>
        <w:t>KPI 1: 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$2.748B</w:t>
            </w:r>
          </w:p>
        </w:tc>
        <w:tc>
          <w:tcPr>
            <w:tcW w:type="dxa" w:w="1728"/>
          </w:tcPr>
          <w:p>
            <w:r>
              <w:rPr>
                <w:rFonts w:ascii="Calibri" w:hAnsi="Calibri"/>
                <w:sz w:val="22"/>
              </w:rPr>
              <w:t>$2.740B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$3.732B</w:t>
            </w:r>
          </w:p>
        </w:tc>
        <w:tc>
          <w:tcPr>
            <w:tcW w:type="dxa" w:w="1728"/>
          </w:tcPr>
          <w:p>
            <w:r>
              <w:rPr>
                <w:rFonts w:ascii="Calibri" w:hAnsi="Calibri"/>
                <w:sz w:val="22"/>
              </w:rPr>
              <w:t>$3.716B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$2.480B</w:t>
            </w:r>
          </w:p>
        </w:tc>
        <w:tc>
          <w:tcPr>
            <w:tcW w:type="dxa" w:w="1728"/>
          </w:tcPr>
          <w:p>
            <w:r>
              <w:rPr>
                <w:rFonts w:ascii="Calibri" w:hAnsi="Calibri"/>
                <w:sz w:val="22"/>
              </w:rPr>
              <w:t>$2.420B</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$2.272B</w:t>
            </w:r>
          </w:p>
        </w:tc>
        <w:tc>
          <w:tcPr>
            <w:tcW w:type="dxa" w:w="1728"/>
          </w:tcPr>
          <w:p>
            <w:r>
              <w:rPr>
                <w:rFonts w:ascii="Calibri" w:hAnsi="Calibri"/>
                <w:sz w:val="22"/>
              </w:rPr>
              <w:t>$2.259B</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$3.096B</w:t>
            </w:r>
          </w:p>
        </w:tc>
        <w:tc>
          <w:tcPr>
            <w:tcW w:type="dxa" w:w="1728"/>
          </w:tcPr>
          <w:p>
            <w:r>
              <w:rPr>
                <w:rFonts w:ascii="Calibri" w:hAnsi="Calibri"/>
                <w:sz w:val="22"/>
              </w:rPr>
              <w:t>$3.031B</w:t>
            </w:r>
          </w:p>
        </w:tc>
        <w:tc>
          <w:tcPr>
            <w:tcW w:type="dxa" w:w="1728"/>
          </w:tcPr>
          <w:p>
            <w:r>
              <w:rPr>
                <w:rFonts w:ascii="Calibri" w:hAnsi="Calibri"/>
                <w:sz w:val="22"/>
              </w:rPr>
              <w:t>+2.1%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$4.095B</w:t>
            </w:r>
          </w:p>
        </w:tc>
        <w:tc>
          <w:tcPr>
            <w:tcW w:type="dxa" w:w="1728"/>
          </w:tcPr>
          <w:p>
            <w:r>
              <w:rPr>
                <w:rFonts w:ascii="Calibri" w:hAnsi="Calibri"/>
                <w:sz w:val="22"/>
              </w:rPr>
              <w:t>$4.079B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$2.778B</w:t>
            </w:r>
          </w:p>
        </w:tc>
        <w:tc>
          <w:tcPr>
            <w:tcW w:type="dxa" w:w="1728"/>
          </w:tcPr>
          <w:p>
            <w:r>
              <w:rPr>
                <w:rFonts w:ascii="Calibri" w:hAnsi="Calibri"/>
                <w:sz w:val="22"/>
              </w:rPr>
              <w:t>$2.715B</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$2.678B</w:t>
            </w:r>
          </w:p>
        </w:tc>
        <w:tc>
          <w:tcPr>
            <w:tcW w:type="dxa" w:w="1728"/>
          </w:tcPr>
          <w:p>
            <w:r>
              <w:rPr>
                <w:rFonts w:ascii="Calibri" w:hAnsi="Calibri"/>
                <w:sz w:val="22"/>
              </w:rPr>
              <w:t>$2.621B</w:t>
            </w:r>
          </w:p>
        </w:tc>
        <w:tc>
          <w:tcPr>
            <w:tcW w:type="dxa" w:w="1728"/>
          </w:tcPr>
          <w:p>
            <w:r>
              <w:rPr>
                <w:rFonts w:ascii="Calibri" w:hAnsi="Calibri"/>
                <w:sz w:val="22"/>
              </w:rPr>
              <w:t>+2.2%</w:t>
            </w:r>
          </w:p>
        </w:tc>
        <w:tc>
          <w:tcPr>
            <w:tcW w:type="dxa" w:w="1728"/>
          </w:tcPr>
          <w:p>
            <w:r>
              <w:rPr>
                <w:rFonts w:ascii="Calibri" w:hAnsi="Calibri"/>
                <w:b/>
                <w:color w:val="30A46C"/>
                <w:sz w:val="22"/>
              </w:rPr>
              <w:t>Beat</w:t>
            </w:r>
          </w:p>
        </w:tc>
      </w:tr>
    </w:tbl>
    <w:p>
      <w:r>
        <w:rPr>
          <w:rFonts w:ascii="Calibri" w:hAnsi="Calibri"/>
          <w:b/>
          <w:color w:val="525866"/>
          <w:sz w:val="22"/>
        </w:rPr>
        <w:t>KPI 2: Nights &amp; Experiences Booked (M)</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125.1M</w:t>
            </w:r>
          </w:p>
        </w:tc>
        <w:tc>
          <w:tcPr>
            <w:tcW w:type="dxa" w:w="1728"/>
          </w:tcPr>
          <w:p>
            <w:r>
              <w:rPr>
                <w:rFonts w:ascii="Calibri" w:hAnsi="Calibri"/>
                <w:sz w:val="22"/>
              </w:rPr>
              <w:t>126.4M</w:t>
            </w:r>
          </w:p>
        </w:tc>
        <w:tc>
          <w:tcPr>
            <w:tcW w:type="dxa" w:w="1728"/>
          </w:tcPr>
          <w:p>
            <w:r>
              <w:rPr>
                <w:rFonts w:ascii="Calibri" w:hAnsi="Calibri"/>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122.8M</w:t>
            </w:r>
          </w:p>
        </w:tc>
        <w:tc>
          <w:tcPr>
            <w:tcW w:type="dxa" w:w="1728"/>
          </w:tcPr>
          <w:p>
            <w:r>
              <w:rPr>
                <w:rFonts w:ascii="Calibri" w:hAnsi="Calibri"/>
                <w:sz w:val="22"/>
              </w:rPr>
              <w:t>121.3M</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111.0M</w:t>
            </w:r>
          </w:p>
        </w:tc>
        <w:tc>
          <w:tcPr>
            <w:tcW w:type="dxa" w:w="1728"/>
          </w:tcPr>
          <w:p>
            <w:r>
              <w:rPr>
                <w:rFonts w:ascii="Calibri" w:hAnsi="Calibri"/>
                <w:sz w:val="22"/>
              </w:rPr>
              <w:t>108.3M</w:t>
            </w:r>
          </w:p>
        </w:tc>
        <w:tc>
          <w:tcPr>
            <w:tcW w:type="dxa" w:w="1728"/>
          </w:tcPr>
          <w:p>
            <w:r>
              <w:rPr>
                <w:rFonts w:ascii="Calibri" w:hAnsi="Calibri"/>
                <w:sz w:val="22"/>
              </w:rPr>
              <w:t>+2.5%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143.1M</w:t>
            </w:r>
          </w:p>
        </w:tc>
        <w:tc>
          <w:tcPr>
            <w:tcW w:type="dxa" w:w="1728"/>
          </w:tcPr>
          <w:p>
            <w:r>
              <w:rPr>
                <w:rFonts w:ascii="Calibri" w:hAnsi="Calibri"/>
                <w:sz w:val="22"/>
              </w:rPr>
              <w:t>143.6M</w:t>
            </w:r>
          </w:p>
        </w:tc>
        <w:tc>
          <w:tcPr>
            <w:tcW w:type="dxa" w:w="1728"/>
          </w:tcPr>
          <w:p>
            <w:r>
              <w:rPr>
                <w:rFonts w:ascii="Calibri" w:hAnsi="Calibri"/>
                <w:sz w:val="22"/>
              </w:rPr>
              <w:t>-0.3%</w:t>
            </w:r>
          </w:p>
        </w:tc>
        <w:tc>
          <w:tcPr>
            <w:tcW w:type="dxa" w:w="1728"/>
          </w:tcPr>
          <w:p>
            <w:r>
              <w:rPr>
                <w:rFonts w:ascii="Calibri" w:hAnsi="Calibri"/>
                <w:sz w:val="22"/>
              </w:rPr>
              <w:t>In-Line / Slight Miss</w:t>
            </w:r>
          </w:p>
        </w:tc>
      </w:tr>
      <w:tr>
        <w:tc>
          <w:tcPr>
            <w:tcW w:type="dxa" w:w="1728"/>
          </w:tcPr>
          <w:p>
            <w:r>
              <w:rPr>
                <w:rFonts w:ascii="Calibri" w:hAnsi="Calibri"/>
                <w:sz w:val="22"/>
              </w:rPr>
              <w:t>Q2 2025</w:t>
            </w:r>
          </w:p>
        </w:tc>
        <w:tc>
          <w:tcPr>
            <w:tcW w:type="dxa" w:w="1728"/>
          </w:tcPr>
          <w:p>
            <w:r>
              <w:rPr>
                <w:rFonts w:ascii="Calibri" w:hAnsi="Calibri"/>
                <w:sz w:val="22"/>
              </w:rPr>
              <w:t>134.4M</w:t>
            </w:r>
          </w:p>
        </w:tc>
        <w:tc>
          <w:tcPr>
            <w:tcW w:type="dxa" w:w="1728"/>
          </w:tcPr>
          <w:p>
            <w:r>
              <w:rPr>
                <w:rFonts w:ascii="Calibri" w:hAnsi="Calibri"/>
                <w:sz w:val="22"/>
              </w:rPr>
              <w:t>133.6M</w:t>
            </w:r>
          </w:p>
        </w:tc>
        <w:tc>
          <w:tcPr>
            <w:tcW w:type="dxa" w:w="1728"/>
          </w:tcPr>
          <w:p>
            <w:r>
              <w:rPr>
                <w:rFonts w:ascii="Calibri" w:hAnsi="Calibri"/>
                <w:sz w:val="22"/>
              </w:rPr>
              <w:t>+0.6%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133.6M</w:t>
            </w:r>
          </w:p>
        </w:tc>
        <w:tc>
          <w:tcPr>
            <w:tcW w:type="dxa" w:w="1728"/>
          </w:tcPr>
          <w:p>
            <w:r>
              <w:rPr>
                <w:rFonts w:ascii="Calibri" w:hAnsi="Calibri"/>
                <w:sz w:val="22"/>
              </w:rPr>
              <w:t>131.9M</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121.9M</w:t>
            </w:r>
          </w:p>
        </w:tc>
        <w:tc>
          <w:tcPr>
            <w:tcW w:type="dxa" w:w="1728"/>
          </w:tcPr>
          <w:p>
            <w:r>
              <w:rPr>
                <w:rFonts w:ascii="Calibri" w:hAnsi="Calibri"/>
                <w:sz w:val="22"/>
              </w:rPr>
              <w:t>118.0M</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156.2M</w:t>
            </w:r>
          </w:p>
        </w:tc>
        <w:tc>
          <w:tcPr>
            <w:tcW w:type="dxa" w:w="1728"/>
          </w:tcPr>
          <w:p>
            <w:r>
              <w:rPr>
                <w:rFonts w:ascii="Calibri" w:hAnsi="Calibri"/>
                <w:sz w:val="22"/>
              </w:rPr>
              <w:t>155.9M</w:t>
            </w:r>
          </w:p>
        </w:tc>
        <w:tc>
          <w:tcPr>
            <w:tcW w:type="dxa" w:w="1728"/>
          </w:tcPr>
          <w:p>
            <w:r>
              <w:rPr>
                <w:rFonts w:ascii="Calibri" w:hAnsi="Calibri"/>
                <w:sz w:val="22"/>
              </w:rPr>
              <w:t>+0.2%</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ABNB has beaten revenue consensus in all 8 of the last 8 quarters, with beats ranging from +0.3% to +2.5% — a consistent pattern of modest outperformance that sets a credible but not demanding bar. Nights booked has been more mixed, with two slight misses in the last 8 quarters, underscoring it as the key swing factor.</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posture has been consistently confident since the Q1 2026 print — full-year revenue guidance was raised to low-to-mid teens and the adjusted EBITDA margin floor was confirmed at ≥35%. No post-earnings guidance revisions have been issued, meaning the Q1 call remains the definitive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$3.54B – $3.60B (+14% to +16% YoY)</w:t>
            </w:r>
          </w:p>
        </w:tc>
        <w:tc>
          <w:tcPr>
            <w:tcW w:type="dxa" w:w="1728"/>
          </w:tcPr>
          <w:p>
            <w:r>
              <w:rPr>
                <w:rFonts w:ascii="Calibri" w:hAnsi="Calibri"/>
                <w:sz w:val="22"/>
              </w:rPr>
              <w:t>—</w:t>
            </w:r>
          </w:p>
        </w:tc>
        <w:tc>
          <w:tcPr>
            <w:tcW w:type="dxa" w:w="1728"/>
          </w:tcPr>
          <w:p>
            <w:r>
              <w:rPr>
                <w:rFonts w:ascii="Calibri" w:hAnsi="Calibri"/>
                <w:sz w:val="22"/>
              </w:rPr>
              <w:t>$3.579B</w:t>
            </w:r>
          </w:p>
        </w:tc>
        <w:tc>
          <w:tcPr>
            <w:tcW w:type="dxa" w:w="1728"/>
          </w:tcPr>
          <w:p>
            <w:r>
              <w:rPr>
                <w:rFonts w:ascii="Calibri" w:hAnsi="Calibri"/>
                <w:sz w:val="22"/>
              </w:rPr>
              <w:t>Unchanged since Q1 call; consensus at midpoint; includes ~3% FX tailwind</w:t>
            </w:r>
          </w:p>
        </w:tc>
      </w:tr>
      <w:tr>
        <w:tc>
          <w:tcPr>
            <w:tcW w:type="dxa" w:w="1728"/>
          </w:tcPr>
          <w:p>
            <w:r>
              <w:rPr>
                <w:rFonts w:ascii="Calibri" w:hAnsi="Calibri"/>
                <w:sz w:val="22"/>
              </w:rPr>
              <w:t>Q2 2026 GBV</w:t>
            </w:r>
          </w:p>
        </w:tc>
        <w:tc>
          <w:tcPr>
            <w:tcW w:type="dxa" w:w="1728"/>
          </w:tcPr>
          <w:p>
            <w:r>
              <w:rPr>
                <w:rFonts w:ascii="Calibri" w:hAnsi="Calibri"/>
                <w:sz w:val="22"/>
              </w:rPr>
              <w:t>Low double digits YoY; driven by nights growth + moderate ADR increase</w:t>
            </w:r>
          </w:p>
        </w:tc>
        <w:tc>
          <w:tcPr>
            <w:tcW w:type="dxa" w:w="1728"/>
          </w:tcPr>
          <w:p>
            <w:r>
              <w:rPr>
                <w:rFonts w:ascii="Calibri" w:hAnsi="Calibri"/>
                <w:sz w:val="22"/>
              </w:rPr>
              <w:t>—</w:t>
            </w:r>
          </w:p>
        </w:tc>
        <w:tc>
          <w:tcPr>
            <w:tcW w:type="dxa" w:w="1728"/>
          </w:tcPr>
          <w:p>
            <w:r>
              <w:rPr>
                <w:rFonts w:ascii="Calibri" w:hAnsi="Calibri"/>
                <w:sz w:val="22"/>
              </w:rPr>
              <w:t>$26.48B (+12.7% YoY)</w:t>
            </w:r>
          </w:p>
        </w:tc>
        <w:tc>
          <w:tcPr>
            <w:tcW w:type="dxa" w:w="1728"/>
          </w:tcPr>
          <w:p>
            <w:r>
              <w:rPr>
                <w:rFonts w:ascii="Calibri" w:hAnsi="Calibri"/>
                <w:sz w:val="22"/>
              </w:rPr>
              <w:t>Consensus in-line with guidance; FX tailwind to ADR significantly lower in Q2 vs. Q1</w:t>
            </w:r>
          </w:p>
        </w:tc>
      </w:tr>
      <w:tr>
        <w:tc>
          <w:tcPr>
            <w:tcW w:type="dxa" w:w="1728"/>
          </w:tcPr>
          <w:p>
            <w:r>
              <w:rPr>
                <w:rFonts w:ascii="Calibri" w:hAnsi="Calibri"/>
                <w:sz w:val="22"/>
              </w:rPr>
              <w:t>Q2 2026 Nights Booked</w:t>
            </w:r>
          </w:p>
        </w:tc>
        <w:tc>
          <w:tcPr>
            <w:tcW w:type="dxa" w:w="1728"/>
          </w:tcPr>
          <w:p>
            <w:r>
              <w:rPr>
                <w:rFonts w:ascii="Calibri" w:hAnsi="Calibri"/>
                <w:sz w:val="22"/>
              </w:rPr>
              <w:t>Slight deceleration from Q1’s 9%; ~100bps Middle East headwind assumed</w:t>
            </w:r>
          </w:p>
        </w:tc>
        <w:tc>
          <w:tcPr>
            <w:tcW w:type="dxa" w:w="1728"/>
          </w:tcPr>
          <w:p>
            <w:r>
              <w:rPr>
                <w:rFonts w:ascii="Calibri" w:hAnsi="Calibri"/>
                <w:sz w:val="22"/>
              </w:rPr>
              <w:t>—</w:t>
            </w:r>
          </w:p>
        </w:tc>
        <w:tc>
          <w:tcPr>
            <w:tcW w:type="dxa" w:w="1728"/>
          </w:tcPr>
          <w:p>
            <w:r>
              <w:rPr>
                <w:rFonts w:ascii="Calibri" w:hAnsi="Calibri"/>
                <w:sz w:val="22"/>
              </w:rPr>
              <w:t>145.7M (+8.4% YoY)</w:t>
            </w:r>
          </w:p>
        </w:tc>
        <w:tc>
          <w:tcPr>
            <w:tcW w:type="dxa" w:w="1728"/>
          </w:tcPr>
          <w:p>
            <w:r>
              <w:rPr>
                <w:rFonts w:ascii="Calibri" w:hAnsi="Calibri"/>
                <w:sz w:val="22"/>
              </w:rPr>
              <w:t>Consensus implies slight decel consistent with guidance; BKNG Q2 data shows ME impact normalizing in June/July</w:t>
            </w:r>
          </w:p>
        </w:tc>
      </w:tr>
      <w:tr>
        <w:tc>
          <w:tcPr>
            <w:tcW w:type="dxa" w:w="1728"/>
          </w:tcPr>
          <w:p>
            <w:r>
              <w:rPr>
                <w:rFonts w:ascii="Calibri" w:hAnsi="Calibri"/>
                <w:sz w:val="22"/>
              </w:rPr>
              <w:t>Q2 2026 Adj. EBITDA</w:t>
            </w:r>
          </w:p>
        </w:tc>
        <w:tc>
          <w:tcPr>
            <w:tcW w:type="dxa" w:w="1728"/>
          </w:tcPr>
          <w:p>
            <w:r>
              <w:rPr>
                <w:rFonts w:ascii="Calibri" w:hAnsi="Calibri"/>
                <w:sz w:val="22"/>
              </w:rPr>
              <w:t>Up YoY; margin up YoY</w:t>
            </w:r>
          </w:p>
        </w:tc>
        <w:tc>
          <w:tcPr>
            <w:tcW w:type="dxa" w:w="1728"/>
          </w:tcPr>
          <w:p>
            <w:r>
              <w:rPr>
                <w:rFonts w:ascii="Calibri" w:hAnsi="Calibri"/>
                <w:sz w:val="22"/>
              </w:rPr>
              <w:t>—</w:t>
            </w:r>
          </w:p>
        </w:tc>
        <w:tc>
          <w:tcPr>
            <w:tcW w:type="dxa" w:w="1728"/>
          </w:tcPr>
          <w:p>
            <w:r>
              <w:rPr>
                <w:rFonts w:ascii="Calibri" w:hAnsi="Calibri"/>
                <w:sz w:val="22"/>
              </w:rPr>
              <w:t>$1.229B (~34.3% margin)</w:t>
            </w:r>
          </w:p>
        </w:tc>
        <w:tc>
          <w:tcPr>
            <w:tcW w:type="dxa" w:w="1728"/>
          </w:tcPr>
          <w:p>
            <w:r>
              <w:rPr>
                <w:rFonts w:ascii="Calibri" w:hAnsi="Calibri"/>
                <w:sz w:val="22"/>
              </w:rPr>
              <w:t>Consensus implies ~60bps margin expansion YoY; consistent with qualitative guidance</w:t>
            </w:r>
          </w:p>
        </w:tc>
      </w:tr>
      <w:tr>
        <w:tc>
          <w:tcPr>
            <w:tcW w:type="dxa" w:w="1728"/>
          </w:tcPr>
          <w:p>
            <w:r>
              <w:rPr>
                <w:rFonts w:ascii="Calibri" w:hAnsi="Calibri"/>
                <w:sz w:val="22"/>
              </w:rPr>
              <w:t>FY 2026 Revenue Growth</w:t>
            </w:r>
          </w:p>
        </w:tc>
        <w:tc>
          <w:tcPr>
            <w:tcW w:type="dxa" w:w="1728"/>
          </w:tcPr>
          <w:p>
            <w:r>
              <w:rPr>
                <w:rFonts w:ascii="Calibri" w:hAnsi="Calibri"/>
                <w:sz w:val="22"/>
              </w:rPr>
              <w:t>Low-to-mid teens YoY (raised from prior guidance)</w:t>
            </w:r>
          </w:p>
        </w:tc>
        <w:tc>
          <w:tcPr>
            <w:tcW w:type="dxa" w:w="1728"/>
          </w:tcPr>
          <w:p>
            <w:r>
              <w:rPr>
                <w:rFonts w:ascii="Calibri" w:hAnsi="Calibri"/>
                <w:sz w:val="22"/>
              </w:rPr>
              <w:t>—</w:t>
            </w:r>
          </w:p>
        </w:tc>
        <w:tc>
          <w:tcPr>
            <w:tcW w:type="dxa" w:w="1728"/>
          </w:tcPr>
          <w:p>
            <w:r>
              <w:rPr>
                <w:rFonts w:ascii="Calibri" w:hAnsi="Calibri"/>
                <w:sz w:val="22"/>
              </w:rPr>
              <w:t>$13.96B (+~13% YoY)</w:t>
            </w:r>
          </w:p>
        </w:tc>
        <w:tc>
          <w:tcPr>
            <w:tcW w:type="dxa" w:w="1728"/>
          </w:tcPr>
          <w:p>
            <w:r>
              <w:rPr>
                <w:rFonts w:ascii="Calibri" w:hAnsi="Calibri"/>
                <w:sz w:val="22"/>
              </w:rPr>
              <w:t>↑ Raised at Q1 2026 earnings call (May 7, 2026); reflects monetization gains from single service fee &amp; insurance program</w:t>
            </w:r>
          </w:p>
        </w:tc>
      </w:tr>
      <w:tr>
        <w:tc>
          <w:tcPr>
            <w:tcW w:type="dxa" w:w="1728"/>
          </w:tcPr>
          <w:p>
            <w:r>
              <w:rPr>
                <w:rFonts w:ascii="Calibri" w:hAnsi="Calibri"/>
                <w:sz w:val="22"/>
              </w:rPr>
              <w:t>FY 2026 Adj. EBITDA Margin</w:t>
            </w:r>
          </w:p>
        </w:tc>
        <w:tc>
          <w:tcPr>
            <w:tcW w:type="dxa" w:w="1728"/>
          </w:tcPr>
          <w:p>
            <w:r>
              <w:rPr>
                <w:rFonts w:ascii="Calibri" w:hAnsi="Calibri"/>
                <w:sz w:val="22"/>
              </w:rPr>
              <w:t>At least 35%</w:t>
            </w:r>
          </w:p>
        </w:tc>
        <w:tc>
          <w:tcPr>
            <w:tcW w:type="dxa" w:w="1728"/>
          </w:tcPr>
          <w:p>
            <w:r>
              <w:rPr>
                <w:rFonts w:ascii="Calibri" w:hAnsi="Calibri"/>
                <w:sz w:val="22"/>
              </w:rPr>
              <w:t>—</w:t>
            </w:r>
          </w:p>
        </w:tc>
        <w:tc>
          <w:tcPr>
            <w:tcW w:type="dxa" w:w="1728"/>
          </w:tcPr>
          <w:p>
            <w:r>
              <w:rPr>
                <w:rFonts w:ascii="Calibri" w:hAnsi="Calibri"/>
                <w:sz w:val="22"/>
              </w:rPr>
              <w:t>~35.4% (implied)</w:t>
            </w:r>
          </w:p>
        </w:tc>
        <w:tc>
          <w:tcPr>
            <w:tcW w:type="dxa" w:w="1728"/>
          </w:tcPr>
          <w:p>
            <w:r>
              <w:rPr>
                <w:rFonts w:ascii="Calibri" w:hAnsi="Calibri"/>
                <w:sz w:val="22"/>
              </w:rPr>
              <w:t>Floor confirmed at Q1 call; management signaling continued reinvestment in marketing, international, and AI</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2026 print — Q2 2026 revenue consensus moved only +$5M and FY 2026 consensus moved only -$3M — suggesting the street is fully aligned with guidance rather than building in incremental upside or downside. The gap between consensus and guidance midpoint is minimal, leaving the print as a clean execution test.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$3.574B</w:t>
            </w:r>
          </w:p>
        </w:tc>
        <w:tc>
          <w:tcPr>
            <w:tcW w:type="dxa" w:w="1080"/>
          </w:tcPr>
          <w:p>
            <w:r>
              <w:rPr>
                <w:rFonts w:ascii="Calibri" w:hAnsi="Calibri"/>
                <w:sz w:val="22"/>
              </w:rPr>
              <w:t>$3.579B</w:t>
            </w:r>
          </w:p>
        </w:tc>
        <w:tc>
          <w:tcPr>
            <w:tcW w:type="dxa" w:w="1080"/>
          </w:tcPr>
          <w:p>
            <w:r>
              <w:rPr>
                <w:rFonts w:ascii="Calibri" w:hAnsi="Calibri"/>
                <w:sz w:val="22"/>
              </w:rPr>
              <w:t>+0.1%</w:t>
            </w:r>
          </w:p>
        </w:tc>
        <w:tc>
          <w:tcPr>
            <w:tcW w:type="dxa" w:w="1080"/>
          </w:tcPr>
          <w:p>
            <w:r>
              <w:rPr>
                <w:rFonts w:ascii="Calibri" w:hAnsi="Calibri"/>
                <w:sz w:val="22"/>
              </w:rPr>
              <w:t>$3.54B – $3.60B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vs. midpoint ($3.57B)</w:t>
            </w:r>
          </w:p>
        </w:tc>
      </w:tr>
      <w:tr>
        <w:tc>
          <w:tcPr>
            <w:tcW w:type="dxa" w:w="1080"/>
          </w:tcPr>
          <w:p>
            <w:r>
              <w:rPr>
                <w:rFonts w:ascii="Calibri" w:hAnsi="Calibri"/>
                <w:sz w:val="22"/>
              </w:rPr>
              <w:t>Nights Booked — Q2 2026</w:t>
            </w:r>
          </w:p>
        </w:tc>
        <w:tc>
          <w:tcPr>
            <w:tcW w:type="dxa" w:w="1080"/>
          </w:tcPr>
          <w:p>
            <w:r>
              <w:rPr>
                <w:rFonts w:ascii="Calibri" w:hAnsi="Calibri"/>
                <w:sz w:val="22"/>
              </w:rPr>
              <w:t>145.8M</w:t>
            </w:r>
          </w:p>
        </w:tc>
        <w:tc>
          <w:tcPr>
            <w:tcW w:type="dxa" w:w="1080"/>
          </w:tcPr>
          <w:p>
            <w:r>
              <w:rPr>
                <w:rFonts w:ascii="Calibri" w:hAnsi="Calibri"/>
                <w:sz w:val="22"/>
              </w:rPr>
              <w:t>145.7M</w:t>
            </w:r>
          </w:p>
        </w:tc>
        <w:tc>
          <w:tcPr>
            <w:tcW w:type="dxa" w:w="1080"/>
          </w:tcPr>
          <w:p>
            <w:r>
              <w:rPr>
                <w:rFonts w:ascii="Calibri" w:hAnsi="Calibri"/>
                <w:sz w:val="22"/>
              </w:rPr>
              <w:t>-0.1%</w:t>
            </w:r>
          </w:p>
        </w:tc>
        <w:tc>
          <w:tcPr>
            <w:tcW w:type="dxa" w:w="1080"/>
          </w:tcPr>
          <w:p>
            <w:r>
              <w:rPr>
                <w:rFonts w:ascii="Calibri" w:hAnsi="Calibri"/>
                <w:sz w:val="22"/>
              </w:rPr>
              <w:t>Slight decel from Q1’s 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(qualitative guidance)</w:t>
            </w:r>
          </w:p>
        </w:tc>
      </w:tr>
      <w:tr>
        <w:tc>
          <w:tcPr>
            <w:tcW w:type="dxa" w:w="1080"/>
          </w:tcPr>
          <w:p>
            <w:r>
              <w:rPr>
                <w:rFonts w:ascii="Calibri" w:hAnsi="Calibri"/>
                <w:sz w:val="22"/>
              </w:rPr>
              <w:t>GBV — Q2 2026</w:t>
            </w:r>
          </w:p>
        </w:tc>
        <w:tc>
          <w:tcPr>
            <w:tcW w:type="dxa" w:w="1080"/>
          </w:tcPr>
          <w:p>
            <w:r>
              <w:rPr>
                <w:rFonts w:ascii="Calibri" w:hAnsi="Calibri"/>
                <w:sz w:val="22"/>
              </w:rPr>
              <w:t>$26.46B</w:t>
            </w:r>
          </w:p>
        </w:tc>
        <w:tc>
          <w:tcPr>
            <w:tcW w:type="dxa" w:w="1080"/>
          </w:tcPr>
          <w:p>
            <w:r>
              <w:rPr>
                <w:rFonts w:ascii="Calibri" w:hAnsi="Calibri"/>
                <w:sz w:val="22"/>
              </w:rPr>
              <w:t>$26.48B</w:t>
            </w:r>
          </w:p>
        </w:tc>
        <w:tc>
          <w:tcPr>
            <w:tcW w:type="dxa" w:w="1080"/>
          </w:tcPr>
          <w:p>
            <w:r>
              <w:rPr>
                <w:rFonts w:ascii="Calibri" w:hAnsi="Calibri"/>
                <w:sz w:val="22"/>
              </w:rPr>
              <w:t>+0.1%</w:t>
            </w:r>
          </w:p>
        </w:tc>
        <w:tc>
          <w:tcPr>
            <w:tcW w:type="dxa" w:w="1080"/>
          </w:tcPr>
          <w:p>
            <w:r>
              <w:rPr>
                <w:rFonts w:ascii="Calibri" w:hAnsi="Calibri"/>
                <w:sz w:val="22"/>
              </w:rPr>
              <w:t>Low double digits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guidance</w:t>
            </w:r>
          </w:p>
        </w:tc>
      </w:tr>
      <w:tr>
        <w:tc>
          <w:tcPr>
            <w:tcW w:type="dxa" w:w="1080"/>
          </w:tcPr>
          <w:p>
            <w:r>
              <w:rPr>
                <w:rFonts w:ascii="Calibri" w:hAnsi="Calibri"/>
                <w:sz w:val="22"/>
              </w:rPr>
              <w:t>Adj. EBITDA — Q2 2026</w:t>
            </w:r>
          </w:p>
        </w:tc>
        <w:tc>
          <w:tcPr>
            <w:tcW w:type="dxa" w:w="1080"/>
          </w:tcPr>
          <w:p>
            <w:r>
              <w:rPr>
                <w:rFonts w:ascii="Calibri" w:hAnsi="Calibri"/>
                <w:sz w:val="22"/>
              </w:rPr>
              <w:t>$1.226B</w:t>
            </w:r>
          </w:p>
        </w:tc>
        <w:tc>
          <w:tcPr>
            <w:tcW w:type="dxa" w:w="1080"/>
          </w:tcPr>
          <w:p>
            <w:r>
              <w:rPr>
                <w:rFonts w:ascii="Calibri" w:hAnsi="Calibri"/>
                <w:sz w:val="22"/>
              </w:rPr>
              <w:t>$1.229B</w:t>
            </w:r>
          </w:p>
        </w:tc>
        <w:tc>
          <w:tcPr>
            <w:tcW w:type="dxa" w:w="1080"/>
          </w:tcPr>
          <w:p>
            <w:r>
              <w:rPr>
                <w:rFonts w:ascii="Calibri" w:hAnsi="Calibri"/>
                <w:sz w:val="22"/>
              </w:rPr>
              <w:t>+0.2%</w:t>
            </w:r>
          </w:p>
        </w:tc>
        <w:tc>
          <w:tcPr>
            <w:tcW w:type="dxa" w:w="1080"/>
          </w:tcPr>
          <w:p>
            <w:r>
              <w:rPr>
                <w:rFonts w:ascii="Calibri" w:hAnsi="Calibri"/>
                <w:sz w:val="22"/>
              </w:rPr>
              <w:t>Up YoY; margin up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In-line with guidance direction</w:t>
            </w:r>
          </w:p>
        </w:tc>
      </w:tr>
      <w:tr>
        <w:tc>
          <w:tcPr>
            <w:tcW w:type="dxa" w:w="1080"/>
          </w:tcPr>
          <w:p>
            <w:r>
              <w:rPr>
                <w:rFonts w:ascii="Calibri" w:hAnsi="Calibri"/>
                <w:sz w:val="22"/>
              </w:rPr>
              <w:t>Revenue — FY 2026</w:t>
            </w:r>
          </w:p>
        </w:tc>
        <w:tc>
          <w:tcPr>
            <w:tcW w:type="dxa" w:w="1080"/>
          </w:tcPr>
          <w:p>
            <w:r>
              <w:rPr>
                <w:rFonts w:ascii="Calibri" w:hAnsi="Calibri"/>
                <w:sz w:val="22"/>
              </w:rPr>
              <w:t>$13.967B</w:t>
            </w:r>
          </w:p>
        </w:tc>
        <w:tc>
          <w:tcPr>
            <w:tcW w:type="dxa" w:w="1080"/>
          </w:tcPr>
          <w:p>
            <w:r>
              <w:rPr>
                <w:rFonts w:ascii="Calibri" w:hAnsi="Calibri"/>
                <w:sz w:val="22"/>
              </w:rPr>
              <w:t>$13.964B</w:t>
            </w:r>
          </w:p>
        </w:tc>
        <w:tc>
          <w:tcPr>
            <w:tcW w:type="dxa" w:w="1080"/>
          </w:tcPr>
          <w:p>
            <w:r>
              <w:rPr>
                <w:rFonts w:ascii="Calibri" w:hAnsi="Calibri"/>
                <w:sz w:val="22"/>
              </w:rPr>
              <w:t>-0.02%</w:t>
            </w:r>
          </w:p>
        </w:tc>
        <w:tc>
          <w:tcPr>
            <w:tcW w:type="dxa" w:w="1080"/>
          </w:tcPr>
          <w:p>
            <w:r>
              <w:rPr>
                <w:rFonts w:ascii="Calibri" w:hAnsi="Calibri"/>
                <w:sz w:val="22"/>
              </w:rPr>
              <w:t>Low-to-mid teens YoY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YoY — in-line with guidance</w:t>
            </w:r>
          </w:p>
        </w:tc>
      </w:tr>
      <w:tr>
        <w:tc>
          <w:tcPr>
            <w:tcW w:type="dxa" w:w="1080"/>
          </w:tcPr>
          <w:p>
            <w:r>
              <w:rPr>
                <w:rFonts w:ascii="Calibri" w:hAnsi="Calibri"/>
                <w:sz w:val="22"/>
              </w:rPr>
              <w:t>Adj. EBITDA — FY 2026</w:t>
            </w:r>
          </w:p>
        </w:tc>
        <w:tc>
          <w:tcPr>
            <w:tcW w:type="dxa" w:w="1080"/>
          </w:tcPr>
          <w:p>
            <w:r>
              <w:rPr>
                <w:rFonts w:ascii="Calibri" w:hAnsi="Calibri"/>
                <w:sz w:val="22"/>
              </w:rPr>
              <w:t>$4.951B</w:t>
            </w:r>
          </w:p>
        </w:tc>
        <w:tc>
          <w:tcPr>
            <w:tcW w:type="dxa" w:w="1080"/>
          </w:tcPr>
          <w:p>
            <w:r>
              <w:rPr>
                <w:rFonts w:ascii="Calibri" w:hAnsi="Calibri"/>
                <w:sz w:val="22"/>
              </w:rPr>
              <w:t>$4.950B</w:t>
            </w:r>
          </w:p>
        </w:tc>
        <w:tc>
          <w:tcPr>
            <w:tcW w:type="dxa" w:w="1080"/>
          </w:tcPr>
          <w:p>
            <w:r>
              <w:rPr>
                <w:rFonts w:ascii="Calibri" w:hAnsi="Calibri"/>
                <w:sz w:val="22"/>
              </w:rPr>
              <w:t>-0.02%</w:t>
            </w:r>
          </w:p>
        </w:tc>
        <w:tc>
          <w:tcPr>
            <w:tcW w:type="dxa" w:w="1080"/>
          </w:tcPr>
          <w:p>
            <w:r>
              <w:rPr>
                <w:rFonts w:ascii="Calibri" w:hAnsi="Calibri"/>
                <w:sz w:val="22"/>
              </w:rPr>
              <w:t>≥35%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~35.4% implied — just above floor</w:t>
            </w:r>
          </w:p>
        </w:tc>
      </w:tr>
      <w:tr>
        <w:tc>
          <w:tcPr>
            <w:tcW w:type="dxa" w:w="1080"/>
          </w:tcPr>
          <w:p>
            <w:r>
              <w:rPr>
                <w:rFonts w:ascii="Calibri" w:hAnsi="Calibri"/>
                <w:sz w:val="22"/>
              </w:rPr>
              <w:t>EPS (Diluted Op.) — Q2 2026</w:t>
            </w:r>
          </w:p>
        </w:tc>
        <w:tc>
          <w:tcPr>
            <w:tcW w:type="dxa" w:w="1080"/>
          </w:tcPr>
          <w:p>
            <w:r>
              <w:rPr>
                <w:rFonts w:ascii="Calibri" w:hAnsi="Calibri"/>
                <w:sz w:val="22"/>
              </w:rPr>
              <w:t>$1.913</w:t>
            </w:r>
          </w:p>
        </w:tc>
        <w:tc>
          <w:tcPr>
            <w:tcW w:type="dxa" w:w="1080"/>
          </w:tcPr>
          <w:p>
            <w:r>
              <w:rPr>
                <w:rFonts w:ascii="Calibri" w:hAnsi="Calibri"/>
                <w:sz w:val="22"/>
              </w:rPr>
              <w:t>$1.838</w:t>
            </w:r>
          </w:p>
        </w:tc>
        <w:tc>
          <w:tcPr>
            <w:tcW w:type="dxa" w:w="1080"/>
          </w:tcPr>
          <w:p>
            <w:r>
              <w:rPr>
                <w:rFonts w:ascii="Calibri" w:hAnsi="Calibri"/>
                <w:sz w:val="22"/>
              </w:rPr>
              <w:t>-3.9%</w:t>
            </w:r>
          </w:p>
        </w:tc>
        <w:tc>
          <w:tcPr>
            <w:tcW w:type="dxa" w:w="1080"/>
          </w:tcPr>
          <w:p>
            <w:r>
              <w:rPr>
                <w:rFonts w:ascii="Calibri" w:hAnsi="Calibri"/>
                <w:sz w:val="22"/>
              </w:rPr>
              <w:t>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as of approximately May 14, 2026 (5 trading days after May 7, 2026 earnings). Current consensus as of August 5, 2026.</w:t>
      </w:r>
    </w:p>
    <w:p>
      <w:r>
        <w:rPr>
          <w:rFonts w:ascii="Calibri" w:hAnsi="Calibri"/>
          <w:color w:val="525866"/>
          <w:sz w:val="22"/>
        </w:rPr>
        <w:t>The near-zero estimate drift since the Q1 print is notable: the street has essentially locked in guidance as the forecast, with no incremental upside being priced in. The slight downward revision to Q2 EPS (-3.9%) likely reflects the lower effective tax rate assumption (high teens vs. 20% in 2025) being partially offset by higher operating leverage expectations. The clean alignment between consensus and guidance means any beat on nights booked or take rate would be a genuine positive surprise.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ABNB has significantly underperformed both BKNG (+20.9%) and EXPE (+26.5%) since the Q1 2026 earnings print, despite reporting a strong beat-and-raise quarter — suggesting the market is discounting ABNB’s nights booked deceleration and Middle East headwind more harshly than peers, creating a lower bar and potential catch-up trade if Q2 delivers.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ABNB vs. BKNG vs. EXPE — Indexed Price Performance Since Q1 2026 Earnings (May 7, 2026). Base = 100. Source: Yahoo Finance.</w:t>
      </w:r>
    </w:p>
    <w:p>
      <w:r>
        <w:rPr>
          <w:rFonts w:ascii="Calibri" w:hAnsi="Calibri"/>
          <w:color w:val="525866"/>
          <w:sz w:val="22"/>
        </w:rPr>
        <w:t>Since the Q1 2026 earnings date (May 7, 2026), ABNB has returned approximately +8.6% (to $152.49 as of August 5, 2026), while BKNG returned +20.9% and EXPE returned +26.5% over the same period. The underperformance is primarily sentiment-driven rather than fundamental: ABNB’s Q1 beat was strong, but guidance for nights booked deceleration in Q2 and the ongoing Middle East headwind weighed on the stock relative to peers. The sector re-rated higher in late June and July as BKNG and EXPE reported strong Q2 results with raised guidance, further widening the gap. ABNB’s relative underperformance means the stock enters Q2 earnings with a lower multiple and lower expectations — a setup that historically has been favorable for a positive reaction if the print is in-line or better. The sector ETF proxy used is BKNG and EXPE as the closest publicly traded peers; no single travel-specific ETF captures ABNB’s home-sharing sub-sector precisely.</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Peer commentary from the last 60 days is broadly constructive for ABNB’s Q2 2026 print — domestic and short-haul travel demand remained resilient across BKNG and EXPE, ADR held up, and the World Cup provided a late-quarter tailwind. The primary risk is that the Middle East conflict’s impact on long-haul international travel and booking windows was more pronounced in April–May before normalizing in June, which could weigh on ABNB’s nights booked growth for the full quarter.</w:t>
      </w:r>
    </w:p>
    <w:p>
      <w:pPr>
        <w:pStyle w:val="Heading3"/>
      </w:pPr>
      <w:r>
        <w:rPr>
          <w:rFonts w:ascii="Calibri" w:hAnsi="Calibri"/>
          <w:b/>
          <w:color w:val="3B4259"/>
          <w:sz w:val="24"/>
        </w:rPr>
        <w:t>A. Booking Holdings (BKNG) — Q2 2026 Earnings (August 4, 2026)</w:t>
      </w:r>
    </w:p>
    <w:p>
      <w:r>
        <w:rPr>
          <w:rFonts w:ascii="Calibri" w:hAnsi="Calibri"/>
          <w:color w:val="525866"/>
          <w:sz w:val="22"/>
        </w:rPr>
        <w:t>BKNG reported Q2 2026 results on August 4, 2026, beating the high end of guidance across all key metrics. This is the most directly relevant peer read-through for ABNB given the overlap in accommodation demand, ADR dynamics, and geographic exposure.</w:t>
      </w:r>
    </w:p>
    <w:p>
      <w:pPr>
        <w:pStyle w:val="ListBullet"/>
        <w:ind w:left="360" w:hanging="360"/>
      </w:pPr>
      <w:r>
        <w:rPr>
          <w:rFonts w:ascii="Calibri" w:hAnsi="Calibri"/>
          <w:b/>
          <w:color w:val="525866"/>
          <w:sz w:val="22"/>
        </w:rPr>
        <w:t xml:space="preserve">Travel demand resilience: </w:t>
      </w:r>
      <w:r>
        <w:rPr>
          <w:rFonts w:ascii="Calibri" w:hAnsi="Calibri"/>
          <w:color w:val="525866"/>
          <w:sz w:val="22"/>
        </w:rPr>
        <w:t xml:space="preserve">Overall consumer demand remained “resilient” in Q2, with domestic and inter-regional travel “relatively healthy across many parts of the world.” Long-haul international travel remained pressured by elevated airline prices and reduced capacity due to the Middle East conflict. </w:t>
      </w:r>
      <w:r>
        <w:rPr>
          <w:rFonts w:ascii="Calibri" w:hAnsi="Calibri"/>
          <w:i/>
          <w:color w:val="525866"/>
          <w:sz w:val="22"/>
        </w:rPr>
        <w:t xml:space="preserve">Implication for ABNB: </w:t>
      </w:r>
      <w:r>
        <w:rPr>
          <w:rFonts w:ascii="Calibri" w:hAnsi="Calibri"/>
          <w:i/>
          <w:color w:val="525866"/>
          <w:sz w:val="22"/>
        </w:rPr>
        <w:t>Domestic/short-haul strength is a direct positive read-through for ABNB’s home-sharing model, which skews toward domestic and regional travel.</w:t>
      </w:r>
    </w:p>
    <w:p>
      <w:pPr>
        <w:pStyle w:val="ListBullet"/>
        <w:ind w:left="360" w:hanging="360"/>
      </w:pPr>
      <w:r>
        <w:rPr>
          <w:rFonts w:ascii="Calibri" w:hAnsi="Calibri"/>
          <w:b/>
          <w:color w:val="525866"/>
          <w:sz w:val="22"/>
        </w:rPr>
        <w:t>Room nights grew 5% globally</w:t>
      </w:r>
      <w:r>
        <w:rPr>
          <w:rFonts w:ascii="Calibri" w:hAnsi="Calibri"/>
          <w:color w:val="525866"/>
          <w:sz w:val="22"/>
        </w:rPr>
        <w:t xml:space="preserve">, exceeding the high end of guidance by ~1 percentage point. US grew high single digits driven by domestic demand; Europe grew mid-single digits; Asia grew mid-single digits with domestic up low double digits. Alternative accommodation room nights grew 4% (slightly below overall 5% due to brand/regional mix). </w:t>
      </w:r>
      <w:r>
        <w:rPr>
          <w:rFonts w:ascii="Calibri" w:hAnsi="Calibri"/>
          <w:i/>
          <w:color w:val="525866"/>
          <w:sz w:val="22"/>
        </w:rPr>
        <w:t xml:space="preserve">Implication for ABNB: </w:t>
      </w:r>
      <w:r>
        <w:rPr>
          <w:rFonts w:ascii="Calibri" w:hAnsi="Calibri"/>
          <w:i/>
          <w:color w:val="525866"/>
          <w:sz w:val="22"/>
        </w:rPr>
        <w:t>US domestic strength and alternative accommodation growth (even if slightly below overall) are positive signals for ABNB’s core home-sharing business.</w:t>
      </w:r>
    </w:p>
    <w:p>
      <w:pPr>
        <w:pStyle w:val="ListBullet"/>
        <w:ind w:left="360" w:hanging="360"/>
      </w:pPr>
      <w:r>
        <w:rPr>
          <w:rFonts w:ascii="Calibri" w:hAnsi="Calibri"/>
          <w:b/>
          <w:color w:val="525866"/>
          <w:sz w:val="22"/>
        </w:rPr>
        <w:t>ADR up ~2% constant currency</w:t>
      </w:r>
      <w:r>
        <w:rPr>
          <w:rFonts w:ascii="Calibri" w:hAnsi="Calibri"/>
          <w:color w:val="525866"/>
          <w:sz w:val="22"/>
        </w:rPr>
        <w:t xml:space="preserve">, demonstrating continued pricing strength primarily driven by Europe and the US. Shorter booking windows but higher ADR observed in summer bookings. </w:t>
      </w:r>
      <w:r>
        <w:rPr>
          <w:rFonts w:ascii="Calibri" w:hAnsi="Calibri"/>
          <w:i/>
          <w:color w:val="525866"/>
          <w:sz w:val="22"/>
        </w:rPr>
        <w:t xml:space="preserve">Implication for ABNB: </w:t>
      </w:r>
      <w:r>
        <w:rPr>
          <w:rFonts w:ascii="Calibri" w:hAnsi="Calibri"/>
          <w:i/>
          <w:color w:val="525866"/>
          <w:sz w:val="22"/>
        </w:rPr>
        <w:t>ADR resilience supports ABNB’s GBV growth even if nights booked growth moderates; ABNB’s Q1 ADR was up 9% YoY (4% ex-FX), and a similar dynamic in Q2 would be constructive.</w:t>
      </w:r>
    </w:p>
    <w:p>
      <w:pPr>
        <w:pStyle w:val="ListBullet"/>
        <w:ind w:left="360" w:hanging="360"/>
      </w:pPr>
      <w:r>
        <w:rPr>
          <w:rFonts w:ascii="Calibri" w:hAnsi="Calibri"/>
          <w:b/>
          <w:color w:val="525866"/>
          <w:sz w:val="22"/>
        </w:rPr>
        <w:t>Booking window contracted modestly in Q2</w:t>
      </w:r>
      <w:r>
        <w:rPr>
          <w:rFonts w:ascii="Calibri" w:hAnsi="Calibri"/>
          <w:color w:val="525866"/>
          <w:sz w:val="22"/>
        </w:rPr>
        <w:t xml:space="preserve"> but began normalizing in June; elevated cancellations in March affected Q2 revenue. The Middle East conflict impact was “a bit higher” in Q2 than Q1 (continuing in April and May), but “the situation started to normalize more” in June and continued into July. </w:t>
      </w:r>
      <w:r>
        <w:rPr>
          <w:rFonts w:ascii="Calibri" w:hAnsi="Calibri"/>
          <w:i/>
          <w:color w:val="525866"/>
          <w:sz w:val="22"/>
        </w:rPr>
        <w:t xml:space="preserve">Implication for ABNB: </w:t>
      </w:r>
      <w:r>
        <w:rPr>
          <w:rFonts w:ascii="Calibri" w:hAnsi="Calibri"/>
          <w:i/>
          <w:color w:val="525866"/>
          <w:sz w:val="22"/>
        </w:rPr>
        <w:t>The April–May headwind from the Middle East conflict is a risk to ABNB’s Q2 nights booked, but the June normalization is encouraging for the exit rate and Q3 setup.</w:t>
      </w:r>
    </w:p>
    <w:p>
      <w:pPr>
        <w:pStyle w:val="ListBullet"/>
        <w:ind w:left="360" w:hanging="360"/>
      </w:pPr>
      <w:r>
        <w:rPr>
          <w:rFonts w:ascii="Calibri" w:hAnsi="Calibri"/>
          <w:b/>
          <w:color w:val="525866"/>
          <w:sz w:val="22"/>
        </w:rPr>
        <w:t xml:space="preserve">Q3 2026 guidance: </w:t>
      </w:r>
      <w:r>
        <w:rPr>
          <w:rFonts w:ascii="Calibri" w:hAnsi="Calibri"/>
          <w:color w:val="525866"/>
          <w:sz w:val="22"/>
        </w:rPr>
        <w:t xml:space="preserve">Room nights +3–5%; gross bookings, revenue, and adjusted EBITDA each +4–6% on a reported basis. Full-year guidance maintained at high single digits for gross bookings/revenue/EBITDA and low-to-mid teens for adjusted EPS. </w:t>
      </w:r>
      <w:r>
        <w:rPr>
          <w:rFonts w:ascii="Calibri" w:hAnsi="Calibri"/>
          <w:i/>
          <w:color w:val="525866"/>
          <w:sz w:val="22"/>
        </w:rPr>
        <w:t xml:space="preserve">Implication for ABNB: </w:t>
      </w:r>
      <w:r>
        <w:rPr>
          <w:rFonts w:ascii="Calibri" w:hAnsi="Calibri"/>
          <w:i/>
          <w:color w:val="525866"/>
          <w:sz w:val="22"/>
        </w:rPr>
        <w:t>BKNG’s Q3 guidance implies continued but moderating growth — consistent with ABNB’s own guidance for nights booked deceleration.</w:t>
      </w:r>
    </w:p>
    <w:p>
      <w:pPr>
        <w:pStyle w:val="ListBullet"/>
        <w:ind w:left="360" w:hanging="360"/>
      </w:pPr>
      <w:r>
        <w:rPr>
          <w:rFonts w:ascii="Calibri" w:hAnsi="Calibri"/>
          <w:b/>
          <w:color w:val="525866"/>
          <w:sz w:val="22"/>
        </w:rPr>
        <w:t>AI driving double-digit reduction in customer service cost per booking</w:t>
      </w:r>
      <w:r>
        <w:rPr>
          <w:rFonts w:ascii="Calibri" w:hAnsi="Calibri"/>
          <w:color w:val="525866"/>
          <w:sz w:val="22"/>
        </w:rPr>
        <w:t xml:space="preserve"> while customer satisfaction remains high — directly parallel to ABNB’s own AI customer service progress (40%+ self-resolution rate, 10% YoY cost per booking decline in Q1 2026).</w:t>
      </w:r>
    </w:p>
    <w:p>
      <w:pPr>
        <w:pStyle w:val="Heading3"/>
      </w:pPr>
      <w:r>
        <w:rPr>
          <w:rFonts w:ascii="Calibri" w:hAnsi="Calibri"/>
          <w:b/>
          <w:color w:val="3B4259"/>
          <w:sz w:val="24"/>
        </w:rPr>
        <w:t>B. Expedia Group (EXPE) — Q2 2026 Earnings (August 5, 2026)</w:t>
      </w:r>
    </w:p>
    <w:p>
      <w:r>
        <w:rPr>
          <w:rFonts w:ascii="Calibri" w:hAnsi="Calibri"/>
          <w:color w:val="525866"/>
          <w:sz w:val="22"/>
        </w:rPr>
        <w:t>EXPE reported Q2 2026 results on August 5, 2026, beating the high end of both top and bottom line expectations for the fifth consecutive quarter. EXPE’s Vrbo vacation rental platform is a direct competitor to ABNB.</w:t>
      </w:r>
    </w:p>
    <w:p>
      <w:pPr>
        <w:pStyle w:val="ListBullet"/>
        <w:ind w:left="360" w:hanging="360"/>
      </w:pPr>
      <w:r>
        <w:rPr>
          <w:rFonts w:ascii="Calibri" w:hAnsi="Calibri"/>
          <w:b/>
          <w:color w:val="525866"/>
          <w:sz w:val="22"/>
        </w:rPr>
        <w:t>Gross bookings +12%, revenue +14% (FX neutral), adj. EBITDA +23%</w:t>
      </w:r>
      <w:r>
        <w:rPr>
          <w:rFonts w:ascii="Calibri" w:hAnsi="Calibri"/>
          <w:color w:val="525866"/>
          <w:sz w:val="22"/>
        </w:rPr>
        <w:t xml:space="preserve"> — beat high end for 5th consecutive quarter. Raised full-year guidance: gross bookings +8–9%, revenue +9–10%, adj. EBITDA margin +150–175bps. </w:t>
      </w:r>
      <w:r>
        <w:rPr>
          <w:rFonts w:ascii="Calibri" w:hAnsi="Calibri"/>
          <w:i/>
          <w:color w:val="525866"/>
          <w:sz w:val="22"/>
        </w:rPr>
        <w:t xml:space="preserve">Implication for ABNB: </w:t>
      </w:r>
      <w:r>
        <w:rPr>
          <w:rFonts w:ascii="Calibri" w:hAnsi="Calibri"/>
          <w:i/>
          <w:color w:val="525866"/>
          <w:sz w:val="22"/>
        </w:rPr>
        <w:t>A strong EXPE beat-and-raise is the most direct positive read-through for ABNB’s Q2 print, validating that the online travel accommodation market remained healthy in Q2.</w:t>
      </w:r>
    </w:p>
    <w:p>
      <w:pPr>
        <w:pStyle w:val="ListBullet"/>
        <w:ind w:left="360" w:hanging="360"/>
      </w:pPr>
      <w:r>
        <w:rPr>
          <w:rFonts w:ascii="Calibri" w:hAnsi="Calibri"/>
          <w:b/>
          <w:color w:val="525866"/>
          <w:sz w:val="22"/>
        </w:rPr>
        <w:t>Total booked room nights +6% globally</w:t>
      </w:r>
      <w:r>
        <w:rPr>
          <w:rFonts w:ascii="Calibri" w:hAnsi="Calibri"/>
          <w:color w:val="525866"/>
          <w:sz w:val="22"/>
        </w:rPr>
        <w:t xml:space="preserve">; US mid-single digits, EMEA low single digits, Rest of World low double digits. Consumers prioritizing travel with </w:t>
      </w:r>
      <w:r>
        <w:rPr>
          <w:rFonts w:ascii="Calibri" w:hAnsi="Calibri"/>
          <w:b/>
          <w:color w:val="525866"/>
          <w:sz w:val="22"/>
        </w:rPr>
        <w:t>longer lengths of stay and longer booking windows</w:t>
      </w:r>
      <w:r>
        <w:rPr>
          <w:rFonts w:ascii="Calibri" w:hAnsi="Calibri"/>
          <w:color w:val="525866"/>
          <w:sz w:val="22"/>
        </w:rPr>
        <w:t xml:space="preserve"> even as air ticket and hotel prices rose. </w:t>
      </w:r>
      <w:r>
        <w:rPr>
          <w:rFonts w:ascii="Calibri" w:hAnsi="Calibri"/>
          <w:i/>
          <w:color w:val="525866"/>
          <w:sz w:val="22"/>
        </w:rPr>
        <w:t xml:space="preserve">Implication for ABNB: </w:t>
      </w:r>
      <w:r>
        <w:rPr>
          <w:rFonts w:ascii="Calibri" w:hAnsi="Calibri"/>
          <w:i/>
          <w:color w:val="525866"/>
          <w:sz w:val="22"/>
        </w:rPr>
        <w:t>Longer booking windows and longer lengths of stay are favorable for ABNB’s higher-priced, longer-stay home inventory, which tends to benefit from advance planning behavior.</w:t>
      </w:r>
    </w:p>
    <w:p>
      <w:pPr>
        <w:pStyle w:val="ListBullet"/>
        <w:ind w:left="360" w:hanging="360"/>
      </w:pPr>
      <w:r>
        <w:rPr>
          <w:rFonts w:ascii="Calibri" w:hAnsi="Calibri"/>
          <w:b/>
          <w:color w:val="525866"/>
          <w:sz w:val="22"/>
        </w:rPr>
        <w:t>ADR +5%</w:t>
      </w:r>
      <w:r>
        <w:rPr>
          <w:rFonts w:ascii="Calibri" w:hAnsi="Calibri"/>
          <w:color w:val="525866"/>
          <w:sz w:val="22"/>
        </w:rPr>
        <w:t xml:space="preserve">; air ticket and hotel prices rose. More than 40% of bookings included partner-funded offers. </w:t>
      </w:r>
      <w:r>
        <w:rPr>
          <w:rFonts w:ascii="Calibri" w:hAnsi="Calibri"/>
          <w:i/>
          <w:color w:val="525866"/>
          <w:sz w:val="22"/>
        </w:rPr>
        <w:t xml:space="preserve">Implication for ABNB: </w:t>
      </w:r>
      <w:r>
        <w:rPr>
          <w:rFonts w:ascii="Calibri" w:hAnsi="Calibri"/>
          <w:i/>
          <w:color w:val="525866"/>
          <w:sz w:val="22"/>
        </w:rPr>
        <w:t>ADR strength across the sector supports ABNB’s GBV growth even if nights booked growth is modest.</w:t>
      </w:r>
    </w:p>
    <w:p>
      <w:pPr>
        <w:pStyle w:val="ListBullet"/>
        <w:ind w:left="360" w:hanging="360"/>
      </w:pPr>
      <w:r>
        <w:rPr>
          <w:rFonts w:ascii="Calibri" w:hAnsi="Calibri"/>
          <w:b/>
          <w:color w:val="525866"/>
          <w:sz w:val="22"/>
        </w:rPr>
        <w:t>World Cup generated modest incremental demand late in Q2</w:t>
      </w:r>
      <w:r>
        <w:rPr>
          <w:rFonts w:ascii="Calibri" w:hAnsi="Calibri"/>
          <w:color w:val="525866"/>
          <w:sz w:val="22"/>
        </w:rPr>
        <w:t xml:space="preserve">, showing up more in ADR than room nights; many bookings happened after the tournament began. </w:t>
      </w:r>
      <w:r>
        <w:rPr>
          <w:rFonts w:ascii="Calibri" w:hAnsi="Calibri"/>
          <w:i/>
          <w:color w:val="525866"/>
          <w:sz w:val="22"/>
        </w:rPr>
        <w:t xml:space="preserve">Implication for ABNB: </w:t>
      </w:r>
      <w:r>
        <w:rPr>
          <w:rFonts w:ascii="Calibri" w:hAnsi="Calibri"/>
          <w:i/>
          <w:color w:val="525866"/>
          <w:sz w:val="22"/>
        </w:rPr>
        <w:t>This is a nuanced read-through — ABNB called the World Cup the largest event in its history, but EXPE’s experience suggests the Q2 benefit may be more ADR-driven than volume-driven, with some bookings spilling into Q3. ABNB’s 100,000+ new host city listings may show up more in Q3 retention metrics than Q2 nights.</w:t>
      </w:r>
    </w:p>
    <w:p>
      <w:pPr>
        <w:pStyle w:val="ListBullet"/>
        <w:ind w:left="360" w:hanging="360"/>
      </w:pPr>
      <w:r>
        <w:rPr>
          <w:rFonts w:ascii="Calibri" w:hAnsi="Calibri"/>
          <w:b/>
          <w:color w:val="525866"/>
          <w:sz w:val="22"/>
        </w:rPr>
        <w:t>Consumer spending healthy, particularly in US; K-shaped economy</w:t>
      </w:r>
      <w:r>
        <w:rPr>
          <w:rFonts w:ascii="Calibri" w:hAnsi="Calibri"/>
          <w:color w:val="525866"/>
          <w:sz w:val="22"/>
        </w:rPr>
        <w:t xml:space="preserve"> with more strength at the high end vs. low end. </w:t>
      </w:r>
      <w:r>
        <w:rPr>
          <w:rFonts w:ascii="Calibri" w:hAnsi="Calibri"/>
          <w:i/>
          <w:color w:val="525866"/>
          <w:sz w:val="22"/>
        </w:rPr>
        <w:t xml:space="preserve">Implication for ABNB: </w:t>
      </w:r>
      <w:r>
        <w:rPr>
          <w:rFonts w:ascii="Calibri" w:hAnsi="Calibri"/>
          <w:i/>
          <w:color w:val="525866"/>
          <w:sz w:val="22"/>
        </w:rPr>
        <w:t>ABNB’s inventory skews toward higher-priced, unique stays — the high-end consumer strength is a direct positive for ABNB’s ADR and GBV.</w:t>
      </w:r>
    </w:p>
    <w:p>
      <w:pPr>
        <w:pStyle w:val="ListBullet"/>
        <w:ind w:left="360" w:hanging="360"/>
      </w:pPr>
      <w:r>
        <w:rPr>
          <w:rFonts w:ascii="Calibri" w:hAnsi="Calibri"/>
          <w:b/>
          <w:color w:val="525866"/>
          <w:sz w:val="22"/>
        </w:rPr>
        <w:t>Vrbo AI enhancements: natural language search, agentic voice solution for partner inquiries</w:t>
      </w:r>
      <w:r>
        <w:rPr>
          <w:rFonts w:ascii="Calibri" w:hAnsi="Calibri"/>
          <w:color w:val="525866"/>
          <w:sz w:val="22"/>
        </w:rPr>
        <w:t xml:space="preserve">. Vacation rentals on Brand Expedia hit $1B annual run rate. </w:t>
      </w:r>
      <w:r>
        <w:rPr>
          <w:rFonts w:ascii="Calibri" w:hAnsi="Calibri"/>
          <w:i/>
          <w:color w:val="525866"/>
          <w:sz w:val="22"/>
        </w:rPr>
        <w:t xml:space="preserve">Implication for ABNB: </w:t>
      </w:r>
      <w:r>
        <w:rPr>
          <w:rFonts w:ascii="Calibri" w:hAnsi="Calibri"/>
          <w:i/>
          <w:color w:val="525866"/>
          <w:sz w:val="22"/>
        </w:rPr>
        <w:t>Vrbo’s accelerating AI investment signals competitive pressure on ABNB’s vacation rental positioning, though ABNB’s AI-native strategy (60% AI-written code, 40%+ customer service self-resolution) appears ahead of peers.</w:t>
      </w:r>
    </w:p>
    <w:p>
      <w:pPr>
        <w:pStyle w:val="ListBullet"/>
        <w:ind w:left="360" w:hanging="360"/>
      </w:pPr>
      <w:r>
        <w:rPr>
          <w:rFonts w:ascii="Calibri" w:hAnsi="Calibri"/>
          <w:b/>
          <w:color w:val="525866"/>
          <w:sz w:val="22"/>
        </w:rPr>
        <w:t xml:space="preserve">Q3 2026 guidance: </w:t>
      </w:r>
      <w:r>
        <w:rPr>
          <w:rFonts w:ascii="Calibri" w:hAnsi="Calibri"/>
          <w:color w:val="525866"/>
          <w:sz w:val="22"/>
        </w:rPr>
        <w:t>Gross bookings $32.2–$32.8B (+5–7%); revenue $4.65–$4.75B (+5–8%); adj. EBITDA $1.51–$1.56B (margin 32.5–32.8%). Growth expected to decelerate in H2 due to tougher comparisons.</w:t>
      </w:r>
    </w:p>
    <w:p>
      <w:pPr>
        <w:pStyle w:val="Heading3"/>
      </w:pPr>
      <w:r>
        <w:rPr>
          <w:rFonts w:ascii="Calibri" w:hAnsi="Calibri"/>
          <w:b/>
          <w:color w:val="3B4259"/>
          <w:sz w:val="24"/>
        </w:rPr>
        <w:t>C. Expedia Group (EXPE) — Evercore TMT Global Conference (June 2, 2026)</w:t>
      </w:r>
    </w:p>
    <w:p>
      <w:r>
        <w:rPr>
          <w:rFonts w:ascii="Calibri" w:hAnsi="Calibri"/>
          <w:color w:val="525866"/>
          <w:sz w:val="22"/>
        </w:rPr>
        <w:t>EXPE management provided forward-looking color on Q2 2026 travel trends at the Evercore TMT conference, approximately one month into the quarter.</w:t>
      </w:r>
    </w:p>
    <w:p>
      <w:pPr>
        <w:pStyle w:val="ListBullet"/>
        <w:ind w:left="360" w:hanging="360"/>
      </w:pPr>
      <w:r>
        <w:rPr>
          <w:rFonts w:ascii="Calibri" w:hAnsi="Calibri"/>
          <w:b/>
          <w:color w:val="525866"/>
          <w:sz w:val="22"/>
        </w:rPr>
        <w:t>K-shaped economy: more strength at the high end vs. low end</w:t>
      </w:r>
      <w:r>
        <w:rPr>
          <w:rFonts w:ascii="Calibri" w:hAnsi="Calibri"/>
          <w:color w:val="525866"/>
          <w:sz w:val="22"/>
        </w:rPr>
        <w:t xml:space="preserve"> — “continues to be the case.” Airlines taking capacity out of the market, pricing going up. </w:t>
      </w:r>
      <w:r>
        <w:rPr>
          <w:rFonts w:ascii="Calibri" w:hAnsi="Calibri"/>
          <w:i/>
          <w:color w:val="525866"/>
          <w:sz w:val="22"/>
        </w:rPr>
        <w:t xml:space="preserve">Implication for ABNB: </w:t>
      </w:r>
      <w:r>
        <w:rPr>
          <w:rFonts w:ascii="Calibri" w:hAnsi="Calibri"/>
          <w:i/>
          <w:color w:val="525866"/>
          <w:sz w:val="22"/>
        </w:rPr>
        <w:t>High-end travel strength favors ABNB’s premium inventory; airline capacity constraints could shift demand toward ground-based accommodation (positive for ABNB’s home-sharing model).</w:t>
      </w:r>
    </w:p>
    <w:p>
      <w:pPr>
        <w:pStyle w:val="ListBullet"/>
        <w:ind w:left="360" w:hanging="360"/>
      </w:pPr>
      <w:r>
        <w:rPr>
          <w:rFonts w:ascii="Calibri" w:hAnsi="Calibri"/>
          <w:b/>
          <w:color w:val="525866"/>
          <w:sz w:val="22"/>
        </w:rPr>
        <w:t>Big summer ahead with World Cup and US 250</w:t>
      </w:r>
      <w:r>
        <w:rPr>
          <w:rFonts w:ascii="Calibri" w:hAnsi="Calibri"/>
          <w:color w:val="525866"/>
          <w:sz w:val="22"/>
        </w:rPr>
        <w:t xml:space="preserve">; Expedia focused on ensuring supply and offers at all price points across its marketplaces, brands, and B2B business. </w:t>
      </w:r>
      <w:r>
        <w:rPr>
          <w:rFonts w:ascii="Calibri" w:hAnsi="Calibri"/>
          <w:i/>
          <w:color w:val="525866"/>
          <w:sz w:val="22"/>
        </w:rPr>
        <w:t xml:space="preserve">Implication for ABNB: </w:t>
      </w:r>
      <w:r>
        <w:rPr>
          <w:rFonts w:ascii="Calibri" w:hAnsi="Calibri"/>
          <w:i/>
          <w:color w:val="525866"/>
          <w:sz w:val="22"/>
        </w:rPr>
        <w:t>World Cup demand was anticipated to be significant as of early June, consistent with ABNB’s own event strategy commentary.</w:t>
      </w:r>
    </w:p>
    <w:p>
      <w:pPr>
        <w:pStyle w:val="ListBullet"/>
        <w:ind w:left="360" w:hanging="360"/>
      </w:pPr>
      <w:r>
        <w:rPr>
          <w:rFonts w:ascii="Calibri" w:hAnsi="Calibri"/>
          <w:b/>
          <w:color w:val="525866"/>
          <w:sz w:val="22"/>
        </w:rPr>
        <w:t>Vrbo trust initiatives: guest favorite badge, VrboCare relaunch (“if something goes wrong, we’ll take care of you”), Weather Promise</w:t>
      </w:r>
      <w:r>
        <w:rPr>
          <w:rFonts w:ascii="Calibri" w:hAnsi="Calibri"/>
          <w:color w:val="525866"/>
          <w:sz w:val="22"/>
        </w:rPr>
        <w:t xml:space="preserve">. Over 30% of Q1 bookings on partner-driven promotions. </w:t>
      </w:r>
      <w:r>
        <w:rPr>
          <w:rFonts w:ascii="Calibri" w:hAnsi="Calibri"/>
          <w:i/>
          <w:color w:val="525866"/>
          <w:sz w:val="22"/>
        </w:rPr>
        <w:t xml:space="preserve">Implication for ABNB: </w:t>
      </w:r>
      <w:r>
        <w:rPr>
          <w:rFonts w:ascii="Calibri" w:hAnsi="Calibri"/>
          <w:i/>
          <w:color w:val="525866"/>
          <w:sz w:val="22"/>
        </w:rPr>
        <w:t>Vrbo’s trust-building initiatives signal competitive pressure on ABNB’s quality and trust positioning — a key differentiator ABNB has historically led on. ABNB’s own cancellation policy redesign and single service fee migration are direct competitive responses.</w:t>
      </w:r>
    </w:p>
    <w:p>
      <w:pPr>
        <w:pStyle w:val="ListBullet"/>
        <w:ind w:left="360" w:hanging="360"/>
      </w:pPr>
      <w:r>
        <w:rPr>
          <w:rFonts w:ascii="Calibri" w:hAnsi="Calibri"/>
          <w:b/>
          <w:color w:val="525866"/>
          <w:sz w:val="22"/>
        </w:rPr>
        <w:t>Vacation rentals on Brand Expedia hit $1B annual run rate</w:t>
      </w:r>
      <w:r>
        <w:rPr>
          <w:rFonts w:ascii="Calibri" w:hAnsi="Calibri"/>
          <w:color w:val="525866"/>
          <w:sz w:val="22"/>
        </w:rPr>
        <w:t xml:space="preserve">; B2B has had 18 consecutive quarters of healthy double-digit growth. </w:t>
      </w:r>
      <w:r>
        <w:rPr>
          <w:rFonts w:ascii="Calibri" w:hAnsi="Calibri"/>
          <w:i/>
          <w:color w:val="525866"/>
          <w:sz w:val="22"/>
        </w:rPr>
        <w:t xml:space="preserve">Implication for ABNB: </w:t>
      </w:r>
      <w:r>
        <w:rPr>
          <w:rFonts w:ascii="Calibri" w:hAnsi="Calibri"/>
          <w:i/>
          <w:color w:val="525866"/>
          <w:sz w:val="22"/>
        </w:rPr>
        <w:t>Expedia’s B2B distribution channel for vacation rentals is a growing competitive dynamic for ABNB, which relies primarily on direct booking.</w:t>
      </w:r>
    </w:p>
    <w:p>
      <w:pPr>
        <w:pStyle w:val="Heading3"/>
      </w:pPr>
      <w:r>
        <w:rPr>
          <w:rFonts w:ascii="Calibri" w:hAnsi="Calibri"/>
          <w:b/>
          <w:color w:val="3B4259"/>
          <w:sz w:val="24"/>
        </w:rPr>
        <w:t>D. TripAdvisor (TRIP) — Bernstein Strategic Decisions Conference (May 28, 2026)</w:t>
      </w:r>
    </w:p>
    <w:p>
      <w:r>
        <w:rPr>
          <w:rFonts w:ascii="Calibri" w:hAnsi="Calibri"/>
          <w:color w:val="525866"/>
          <w:sz w:val="22"/>
        </w:rPr>
        <w:t>TripAdvisor management provided demand sentiment commentary at the Bernstein conference, approximately three weeks into Q2 2026.</w:t>
      </w:r>
    </w:p>
    <w:p>
      <w:pPr>
        <w:pStyle w:val="ListBullet"/>
        <w:ind w:left="360" w:hanging="360"/>
      </w:pPr>
      <w:r>
        <w:rPr>
          <w:rFonts w:ascii="Calibri" w:hAnsi="Calibri"/>
          <w:b/>
          <w:color w:val="525866"/>
          <w:sz w:val="22"/>
        </w:rPr>
        <w:t>70%+ travel intent through summer, stable with last year</w:t>
      </w:r>
      <w:r>
        <w:rPr>
          <w:rFonts w:ascii="Calibri" w:hAnsi="Calibri"/>
          <w:color w:val="525866"/>
          <w:sz w:val="22"/>
        </w:rPr>
        <w:t xml:space="preserve">; 9 in 10 travelers plan to travel the same or more in summer months. Memorial Day travel was strong despite higher energy prices. </w:t>
      </w:r>
      <w:r>
        <w:rPr>
          <w:rFonts w:ascii="Calibri" w:hAnsi="Calibri"/>
          <w:i/>
          <w:color w:val="525866"/>
          <w:sz w:val="22"/>
        </w:rPr>
        <w:t xml:space="preserve">Implication for ABNB: </w:t>
      </w:r>
      <w:r>
        <w:rPr>
          <w:rFonts w:ascii="Calibri" w:hAnsi="Calibri"/>
          <w:i/>
          <w:color w:val="525866"/>
          <w:sz w:val="22"/>
        </w:rPr>
        <w:t>Stable and high travel intent is a positive setup for Q2 demand; the Memorial Day data point is particularly relevant as it falls within ABNB’s Q2 reporting period.</w:t>
      </w:r>
    </w:p>
    <w:p>
      <w:pPr>
        <w:pStyle w:val="ListBullet"/>
        <w:ind w:left="360" w:hanging="360"/>
      </w:pPr>
      <w:r>
        <w:rPr>
          <w:rFonts w:ascii="Calibri" w:hAnsi="Calibri"/>
          <w:b/>
          <w:color w:val="525866"/>
          <w:sz w:val="22"/>
        </w:rPr>
        <w:t>Potential shift from long-haul international to short-haul regional/domestic</w:t>
      </w:r>
      <w:r>
        <w:rPr>
          <w:rFonts w:ascii="Calibri" w:hAnsi="Calibri"/>
          <w:color w:val="525866"/>
          <w:sz w:val="22"/>
        </w:rPr>
        <w:t xml:space="preserve"> due to macro uncertainty and higher airline prices. TripAdvisor feels “really well positioned” for a domestic shift given its experiences inventory. </w:t>
      </w:r>
      <w:r>
        <w:rPr>
          <w:rFonts w:ascii="Calibri" w:hAnsi="Calibri"/>
          <w:i/>
          <w:color w:val="525866"/>
          <w:sz w:val="22"/>
        </w:rPr>
        <w:t xml:space="preserve">Implication for ABNB: </w:t>
      </w:r>
      <w:r>
        <w:rPr>
          <w:rFonts w:ascii="Calibri" w:hAnsi="Calibri"/>
          <w:i/>
          <w:color w:val="525866"/>
          <w:sz w:val="22"/>
        </w:rPr>
        <w:t>A domestic/regional travel shift is a direct positive for ABNB’s home-sharing model, which is heavily weighted toward domestic and intra-regional stays.</w:t>
      </w:r>
    </w:p>
    <w:p>
      <w:pPr>
        <w:pStyle w:val="ListBullet"/>
        <w:ind w:left="360" w:hanging="360"/>
      </w:pPr>
      <w:r>
        <w:rPr>
          <w:rFonts w:ascii="Calibri" w:hAnsi="Calibri"/>
          <w:b/>
          <w:color w:val="525866"/>
          <w:sz w:val="22"/>
        </w:rPr>
        <w:t>7 in 10 travelers want experiences at the heart of their budget</w:t>
      </w:r>
      <w:r>
        <w:rPr>
          <w:rFonts w:ascii="Calibri" w:hAnsi="Calibri"/>
          <w:color w:val="525866"/>
          <w:sz w:val="22"/>
        </w:rPr>
        <w:t xml:space="preserve">; experiences are less likely to be cancelled than shopping (2–3x lower cancellation rate). Viator growing &gt;20% in volume and GBV in Jan–Feb; experiences overall growing high teens. </w:t>
      </w:r>
      <w:r>
        <w:rPr>
          <w:rFonts w:ascii="Calibri" w:hAnsi="Calibri"/>
          <w:i/>
          <w:color w:val="525866"/>
          <w:sz w:val="22"/>
        </w:rPr>
        <w:t xml:space="preserve">Implication for ABNB: </w:t>
      </w:r>
      <w:r>
        <w:rPr>
          <w:rFonts w:ascii="Calibri" w:hAnsi="Calibri"/>
          <w:i/>
          <w:color w:val="525866"/>
          <w:sz w:val="22"/>
        </w:rPr>
        <w:t>Strong experience demand growth is directly relevant to ABNB’s Experiences expansion strategy — management noted that ~25% of new experience bookers go on to book a stay or service within 90 days, creating a flywheel effect.</w:t>
      </w:r>
    </w:p>
    <w:p>
      <w:pPr>
        <w:pStyle w:val="ListBullet"/>
        <w:ind w:left="360" w:hanging="360"/>
      </w:pPr>
      <w:r>
        <w:rPr>
          <w:rFonts w:ascii="Calibri" w:hAnsi="Calibri"/>
          <w:b/>
          <w:color w:val="525866"/>
          <w:sz w:val="22"/>
        </w:rPr>
        <w:t>March dislocation (Mexico, Hawaii cancellations) normalizing back to appropriate levels in Q2</w:t>
      </w:r>
      <w:r>
        <w:rPr>
          <w:rFonts w:ascii="Calibri" w:hAnsi="Calibri"/>
          <w:color w:val="525866"/>
          <w:sz w:val="22"/>
        </w:rPr>
        <w:t xml:space="preserve">; the “build back” expected through Q2 is “actually happening even with some of the external things happening.” </w:t>
      </w:r>
      <w:r>
        <w:rPr>
          <w:rFonts w:ascii="Calibri" w:hAnsi="Calibri"/>
          <w:i/>
          <w:color w:val="525866"/>
          <w:sz w:val="22"/>
        </w:rPr>
        <w:t xml:space="preserve">Implication for ABNB: </w:t>
      </w:r>
      <w:r>
        <w:rPr>
          <w:rFonts w:ascii="Calibri" w:hAnsi="Calibri"/>
          <w:i/>
          <w:color w:val="525866"/>
          <w:sz w:val="22"/>
        </w:rPr>
        <w:t>Cancellation normalization in Q2 is a positive signal for ABNB’s net nights booked metric, which was impacted by elevated cancellations in Q1 from the Middle East conflict.</w:t>
      </w:r>
    </w:p>
    <w:p>
      <w:pPr>
        <w:pStyle w:val="Heading3"/>
      </w:pPr>
      <w:r>
        <w:rPr>
          <w:rFonts w:ascii="Calibri" w:hAnsi="Calibri"/>
          <w:b/>
          <w:color w:val="3B4259"/>
          <w:sz w:val="24"/>
        </w:rPr>
        <w:t>Overall Read-Through Assessment</w:t>
      </w:r>
    </w:p>
    <w:p>
      <w:r>
        <w:rPr>
          <w:rFonts w:ascii="Calibri" w:hAnsi="Calibri"/>
          <w:color w:val="525866"/>
          <w:sz w:val="22"/>
        </w:rPr>
        <w:t xml:space="preserve">The net signal from peer commentary is </w:t>
      </w:r>
      <w:r>
        <w:rPr>
          <w:rFonts w:ascii="Calibri" w:hAnsi="Calibri"/>
          <w:b/>
          <w:color w:val="525866"/>
          <w:sz w:val="22"/>
        </w:rPr>
        <w:t>constructive but nuanced</w:t>
      </w:r>
      <w:r>
        <w:rPr>
          <w:rFonts w:ascii="Calibri" w:hAnsi="Calibri"/>
          <w:color w:val="525866"/>
          <w:sz w:val="22"/>
        </w:rPr>
        <w:t xml:space="preserve"> for ABNB’s Q2 2026 print. The positives are clear: domestic and short-haul travel demand remained resilient across BKNG and EXPE, ADR held up well (BKNG +2% constant currency, EXPE +5%), consumer spending was healthy particularly at the high end, and travel intent data from TRIP showed stable summer demand. The World Cup provided a late-quarter tailwind, though EXPE’s experience suggests it showed up more in ADR than room nights, with many bookings occurring after the tournament began — meaning ABNB’s World Cup benefit may be partially deferred into Q3. The primary risk is the Middle East conflict’s impact on booking windows and cancellations in April–May, which BKNG confirmed was “a bit higher” in Q2 than Q1 before normalizing in June. For ABNB specifically, the domestic/regional travel shift is a structural positive for its home-sharing model, the experience demand growth validates its Experiences expansion strategy, and the high-end consumer strength supports its premium inventory positioning. On balance, the peer read-throughs support a Q2 print that is at or above the midpoint of guidance, with the key uncertainty being whether the June normalization was sufficient to offset the April–May headwind on a full-quarter basis.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May 20, 2026 product launch</w:t>
      </w:r>
      <w:r>
        <w:rPr>
          <w:rFonts w:ascii="Calibri" w:hAnsi="Calibri"/>
          <w:color w:val="525866"/>
          <w:sz w:val="22"/>
        </w:rPr>
        <w:t>, which introduced new AI features, hotel product updates, and expanded Airbnb Services — these are the first tangible outputs of ABNB’s “AI-native” strategy and will be a key focus of Q2 commentary. The World Cup is the second major catalyst, with ABNB positioned as the official accommodation partner across 16 host cities.</w:t>
      </w:r>
    </w:p>
    <w:p>
      <w:pPr>
        <w:pStyle w:val="ListBullet"/>
        <w:ind w:left="360" w:hanging="360"/>
      </w:pPr>
      <w:r>
        <w:rPr>
          <w:rFonts w:ascii="Calibri" w:hAnsi="Calibri"/>
          <w:b/>
          <w:color w:val="525866"/>
          <w:sz w:val="22"/>
        </w:rPr>
        <w:t>May 20, 2026 — Summer Product Launch:</w:t>
      </w:r>
      <w:r>
        <w:rPr>
          <w:rFonts w:ascii="Calibri" w:hAnsi="Calibri"/>
          <w:color w:val="525866"/>
          <w:sz w:val="22"/>
        </w:rPr>
        <w:t xml:space="preserve"> Airbnb held its 2026 summer release, unveiling new AI features (mid-funnel AI summaries, AI search testing), hotel product updates, and expanded Airbnb Services. This was the first major product event since the Q1 earnings call and represents the first public demonstration of ABNB’s AI-native platform strategy. </w:t>
      </w:r>
      <w:r>
        <w:rPr>
          <w:rFonts w:ascii="Calibri" w:hAnsi="Calibri"/>
          <w:i/>
          <w:color w:val="525866"/>
          <w:sz w:val="22"/>
        </w:rPr>
        <w:t xml:space="preserve">Implication: </w:t>
      </w:r>
      <w:r>
        <w:rPr>
          <w:rFonts w:ascii="Calibri" w:hAnsi="Calibri"/>
          <w:i/>
          <w:color w:val="525866"/>
          <w:sz w:val="22"/>
        </w:rPr>
        <w:t>New features could drive incremental bookings and take rate expansion in Q2 and beyond; management will likely provide early metrics on adoption.</w:t>
      </w:r>
    </w:p>
    <w:p>
      <w:pPr>
        <w:pStyle w:val="ListBullet"/>
        <w:ind w:left="360" w:hanging="360"/>
      </w:pPr>
      <w:r>
        <w:rPr>
          <w:rFonts w:ascii="Calibri" w:hAnsi="Calibri"/>
          <w:b/>
          <w:color w:val="525866"/>
          <w:sz w:val="22"/>
        </w:rPr>
        <w:t>Q2 2026 — World Cup (June–July 2026):</w:t>
      </w:r>
      <w:r>
        <w:rPr>
          <w:rFonts w:ascii="Calibri" w:hAnsi="Calibri"/>
          <w:color w:val="525866"/>
          <w:sz w:val="22"/>
        </w:rPr>
        <w:t xml:space="preserve"> The FIFA World Cup, hosted across 16 cities in the US, Canada, and Mexico, was expected to be the largest event in Airbnb’s history. Over 100,000 new listings were added in host cities since October 2025. EXPE’s Q2 commentary confirmed the World Cup generated incremental demand late in Q2, showing up more in ADR than room nights. </w:t>
      </w:r>
      <w:r>
        <w:rPr>
          <w:rFonts w:ascii="Calibri" w:hAnsi="Calibri"/>
          <w:i/>
          <w:color w:val="525866"/>
          <w:sz w:val="22"/>
        </w:rPr>
        <w:t xml:space="preserve">Implication: </w:t>
      </w:r>
      <w:r>
        <w:rPr>
          <w:rFonts w:ascii="Calibri" w:hAnsi="Calibri"/>
          <w:i/>
          <w:color w:val="525866"/>
          <w:sz w:val="22"/>
        </w:rPr>
        <w:t>ADR tailwind in Q2 is positive for GBV; supply retention post-event (ABNB retained &gt;50% of Paris Olympics listings 6 months later) is a long-term positive for host city supply.</w:t>
      </w:r>
    </w:p>
    <w:p>
      <w:pPr>
        <w:pStyle w:val="ListBullet"/>
        <w:ind w:left="360" w:hanging="360"/>
      </w:pPr>
      <w:r>
        <w:rPr>
          <w:rFonts w:ascii="Calibri" w:hAnsi="Calibri"/>
          <w:b/>
          <w:color w:val="525866"/>
          <w:sz w:val="22"/>
        </w:rPr>
        <w:t>Q1 2026 — Investment-Grade Credit Ratings &amp; $2.5B Debt Offering:</w:t>
      </w:r>
      <w:r>
        <w:rPr>
          <w:rFonts w:ascii="Calibri" w:hAnsi="Calibri"/>
          <w:color w:val="525866"/>
          <w:sz w:val="22"/>
        </w:rPr>
        <w:t xml:space="preserve"> ABNB received investment-grade ratings from major agencies and completed a $2.5B senior unsecured debt offering in Q1 2026. </w:t>
      </w:r>
      <w:r>
        <w:rPr>
          <w:rFonts w:ascii="Calibri" w:hAnsi="Calibri"/>
          <w:i/>
          <w:color w:val="525866"/>
          <w:sz w:val="22"/>
        </w:rPr>
        <w:t xml:space="preserve">Implication: </w:t>
      </w:r>
      <w:r>
        <w:rPr>
          <w:rFonts w:ascii="Calibri" w:hAnsi="Calibri"/>
          <w:i/>
          <w:color w:val="525866"/>
          <w:sz w:val="22"/>
        </w:rPr>
        <w:t>Establishes ABNB as a corporate bond market participant; provides financial flexibility for capital returns and growth investments while maintaining balance sheet strength.</w:t>
      </w:r>
    </w:p>
    <w:p>
      <w:pPr>
        <w:pStyle w:val="ListBullet"/>
        <w:ind w:left="360" w:hanging="360"/>
      </w:pPr>
      <w:r>
        <w:rPr>
          <w:rFonts w:ascii="Calibri" w:hAnsi="Calibri"/>
          <w:b/>
          <w:color w:val="525866"/>
          <w:sz w:val="22"/>
        </w:rPr>
        <w:t>Q1 2026 — $1.1B Share Repurchase:</w:t>
      </w:r>
      <w:r>
        <w:rPr>
          <w:rFonts w:ascii="Calibri" w:hAnsi="Calibri"/>
          <w:color w:val="525866"/>
          <w:sz w:val="22"/>
        </w:rPr>
        <w:t xml:space="preserve"> ABNB repurchased $1.1B of common stock in Q1 2026, continuing its aggressive capital return program. </w:t>
      </w:r>
      <w:r>
        <w:rPr>
          <w:rFonts w:ascii="Calibri" w:hAnsi="Calibri"/>
          <w:i/>
          <w:color w:val="525866"/>
          <w:sz w:val="22"/>
        </w:rPr>
        <w:t xml:space="preserve">Implication: </w:t>
      </w:r>
      <w:r>
        <w:rPr>
          <w:rFonts w:ascii="Calibri" w:hAnsi="Calibri"/>
          <w:i/>
          <w:color w:val="525866"/>
          <w:sz w:val="22"/>
        </w:rPr>
        <w:t>Ongoing buybacks are EPS-accretive and signal management confidence in the business; watch for Q2 buyback update.</w:t>
      </w:r>
    </w:p>
    <w:p>
      <w:pPr>
        <w:pStyle w:val="ListBullet"/>
        <w:ind w:left="360" w:hanging="360"/>
      </w:pPr>
      <w:r>
        <w:rPr>
          <w:rFonts w:ascii="Calibri" w:hAnsi="Calibri"/>
          <w:b/>
          <w:color w:val="525866"/>
          <w:sz w:val="22"/>
        </w:rPr>
        <w:t>Q1 2026 — Reserve Now Pay Later Global Expansion:</w:t>
      </w:r>
      <w:r>
        <w:rPr>
          <w:rFonts w:ascii="Calibri" w:hAnsi="Calibri"/>
          <w:color w:val="525866"/>
          <w:sz w:val="22"/>
        </w:rPr>
        <w:t xml:space="preserve"> RNPL expanded globally in Q1, with roughly 20% of global GBV coming from RNPL bookings. Driving longer lead times and a mix shift toward larger, higher-priced homes. </w:t>
      </w:r>
      <w:r>
        <w:rPr>
          <w:rFonts w:ascii="Calibri" w:hAnsi="Calibri"/>
          <w:i/>
          <w:color w:val="525866"/>
          <w:sz w:val="22"/>
        </w:rPr>
        <w:t xml:space="preserve">Implication: </w:t>
      </w:r>
      <w:r>
        <w:rPr>
          <w:rFonts w:ascii="Calibri" w:hAnsi="Calibri"/>
          <w:i/>
          <w:color w:val="525866"/>
          <w:sz w:val="22"/>
        </w:rPr>
        <w:t>RNPL is a structural take rate and GBV driver; Q2 will show whether the 20% GBV share is sustained or growing.</w:t>
      </w:r>
    </w:p>
    <w:p>
      <w:pPr>
        <w:pStyle w:val="ListBullet"/>
        <w:ind w:left="360" w:hanging="360"/>
      </w:pPr>
      <w:r>
        <w:rPr>
          <w:rFonts w:ascii="Calibri" w:hAnsi="Calibri"/>
          <w:b/>
          <w:color w:val="525866"/>
          <w:sz w:val="22"/>
        </w:rPr>
        <w:t>Q1 2026 — Single Service Fee Migration:</w:t>
      </w:r>
      <w:r>
        <w:rPr>
          <w:rFonts w:ascii="Calibri" w:hAnsi="Calibri"/>
          <w:color w:val="525866"/>
          <w:sz w:val="22"/>
        </w:rPr>
        <w:t xml:space="preserve"> Over a quarter of active listings migrated to a single service fee structure. Management described the payments and pricing roadmap as a “multi-hundred-million-dollar annual revenue opportunity.” </w:t>
      </w:r>
      <w:r>
        <w:rPr>
          <w:rFonts w:ascii="Calibri" w:hAnsi="Calibri"/>
          <w:i/>
          <w:color w:val="525866"/>
          <w:sz w:val="22"/>
        </w:rPr>
        <w:t xml:space="preserve">Implication: </w:t>
      </w:r>
      <w:r>
        <w:rPr>
          <w:rFonts w:ascii="Calibri" w:hAnsi="Calibri"/>
          <w:i/>
          <w:color w:val="525866"/>
          <w:sz w:val="22"/>
        </w:rPr>
        <w:t>Take rate expansion is the key monetization lever for FY 2026; Q2 will show the incremental contribution from the migration.</w:t>
      </w:r>
    </w:p>
    <w:p>
      <w:pPr>
        <w:pStyle w:val="ListBullet"/>
        <w:ind w:left="360" w:hanging="360"/>
      </w:pPr>
      <w:r>
        <w:rPr>
          <w:rFonts w:ascii="Calibri" w:hAnsi="Calibri"/>
          <w:b/>
          <w:color w:val="525866"/>
          <w:sz w:val="22"/>
        </w:rPr>
        <w:t>June 11, 2026 — Annual Shareholder Meeting:</w:t>
      </w:r>
      <w:r>
        <w:rPr>
          <w:rFonts w:ascii="Calibri" w:hAnsi="Calibri"/>
          <w:color w:val="525866"/>
          <w:sz w:val="22"/>
        </w:rPr>
        <w:t xml:space="preserve"> Shareholders elected directors, approved executive pay, and rejected all stockholder proposals. No material governance changes. </w:t>
      </w:r>
      <w:r>
        <w:rPr>
          <w:rFonts w:ascii="Calibri" w:hAnsi="Calibri"/>
          <w:i/>
          <w:color w:val="525866"/>
          <w:sz w:val="22"/>
        </w:rPr>
        <w:t xml:space="preserve">Implication: </w:t>
      </w:r>
      <w:r>
        <w:rPr>
          <w:rFonts w:ascii="Calibri" w:hAnsi="Calibri"/>
          <w:i/>
          <w:color w:val="525866"/>
          <w:sz w:val="22"/>
        </w:rPr>
        <w:t>Routine; no material impact on the earnings setup.</w:t>
      </w:r>
    </w:p>
    <w:p>
      <w:pPr>
        <w:pStyle w:val="ListBullet"/>
        <w:ind w:left="360" w:hanging="360"/>
      </w:pPr>
      <w:r>
        <w:rPr>
          <w:rFonts w:ascii="Calibri" w:hAnsi="Calibri"/>
          <w:b/>
          <w:color w:val="525866"/>
          <w:sz w:val="22"/>
        </w:rPr>
        <w:t>Ongoing — Delta Air Lines Partnership Expansion:</w:t>
      </w:r>
      <w:r>
        <w:rPr>
          <w:rFonts w:ascii="Calibri" w:hAnsi="Calibri"/>
          <w:color w:val="525866"/>
          <w:sz w:val="22"/>
        </w:rPr>
        <w:t xml:space="preserve"> Partnership expanded to cover Experiences and Services in addition to homes, allowing travelers to earn Delta miles on qualifying Airbnb Experiences and Services. </w:t>
      </w:r>
      <w:r>
        <w:rPr>
          <w:rFonts w:ascii="Calibri" w:hAnsi="Calibri"/>
          <w:i/>
          <w:color w:val="525866"/>
          <w:sz w:val="22"/>
        </w:rPr>
        <w:t xml:space="preserve">Implication: </w:t>
      </w:r>
      <w:r>
        <w:rPr>
          <w:rFonts w:ascii="Calibri" w:hAnsi="Calibri"/>
          <w:i/>
          <w:color w:val="525866"/>
          <w:sz w:val="22"/>
        </w:rPr>
        <w:t>Incremental distribution channel for Experiences and Services; supports the ecosystem expansion strategy.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Q1 2026 earnings print are </w:t>
      </w:r>
      <w:r>
        <w:rPr>
          <w:rFonts w:ascii="Calibri" w:hAnsi="Calibri"/>
          <w:b/>
          <w:color w:val="525866"/>
          <w:sz w:val="22"/>
        </w:rPr>
        <w:t>10b5-1 planned sales</w:t>
      </w:r>
      <w:r>
        <w:rPr>
          <w:rFonts w:ascii="Calibri" w:hAnsi="Calibri"/>
          <w:color w:val="525866"/>
          <w:sz w:val="22"/>
        </w:rPr>
        <w:t xml:space="preserve"> — no discretionary open-market buys or sells. The volume of sales is notable (particularly Joseph Gebbia’s large block sales), but all are pre-planned and obligation-driven, providing no incremental signal about management’s view of the upcoming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Approx. 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Nathan Blecharczyk</w:t>
            </w:r>
          </w:p>
        </w:tc>
        <w:tc>
          <w:tcPr>
            <w:tcW w:type="dxa" w:w="1440"/>
          </w:tcPr>
          <w:p>
            <w:r>
              <w:rPr>
                <w:rFonts w:ascii="Calibri" w:hAnsi="Calibri"/>
                <w:sz w:val="22"/>
              </w:rPr>
              <w:t>Chief Strategy Officer, 10% Owner, Director</w:t>
            </w:r>
          </w:p>
        </w:tc>
        <w:tc>
          <w:tcPr>
            <w:tcW w:type="dxa" w:w="1440"/>
          </w:tcPr>
          <w:p>
            <w:r>
              <w:rPr>
                <w:rFonts w:ascii="Calibri" w:hAnsi="Calibri"/>
                <w:sz w:val="22"/>
              </w:rPr>
              <w:t>10b5-1 Planned Sale</w:t>
            </w:r>
          </w:p>
        </w:tc>
        <w:tc>
          <w:tcPr>
            <w:tcW w:type="dxa" w:w="1440"/>
          </w:tcPr>
          <w:p>
            <w:r>
              <w:rPr>
                <w:rFonts w:ascii="Calibri" w:hAnsi="Calibri"/>
                <w:sz w:val="22"/>
              </w:rPr>
              <w:t>~$2.1M (13,615 shares)</w:t>
            </w:r>
          </w:p>
        </w:tc>
        <w:tc>
          <w:tcPr>
            <w:tcW w:type="dxa" w:w="1440"/>
          </w:tcPr>
          <w:p>
            <w:r>
              <w:rPr>
                <w:rFonts w:ascii="Calibri" w:hAnsi="Calibri"/>
                <w:sz w:val="22"/>
              </w:rPr>
              <w:t>Aug 3, 2026</w:t>
            </w:r>
          </w:p>
        </w:tc>
        <w:tc>
          <w:tcPr>
            <w:tcW w:type="dxa" w:w="1440"/>
          </w:tcPr>
          <w:p>
            <w:r>
              <w:rPr>
                <w:rFonts w:ascii="Calibri" w:hAnsi="Calibri"/>
                <w:sz w:val="22"/>
              </w:rPr>
              <w:t>Pre-planned; routine monthly sale under 10b5-1 plan</w:t>
            </w:r>
          </w:p>
        </w:tc>
      </w:tr>
      <w:tr>
        <w:tc>
          <w:tcPr>
            <w:tcW w:type="dxa" w:w="1440"/>
          </w:tcPr>
          <w:p>
            <w:r>
              <w:rPr>
                <w:rFonts w:ascii="Calibri" w:hAnsi="Calibri"/>
                <w:sz w:val="22"/>
              </w:rPr>
              <w:t>Elinor Mertz</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~$0.6M (3,748 shares)</w:t>
            </w:r>
          </w:p>
        </w:tc>
        <w:tc>
          <w:tcPr>
            <w:tcW w:type="dxa" w:w="1440"/>
          </w:tcPr>
          <w:p>
            <w:r>
              <w:rPr>
                <w:rFonts w:ascii="Calibri" w:hAnsi="Calibri"/>
                <w:sz w:val="22"/>
              </w:rPr>
              <w:t>Aug 3, 2026</w:t>
            </w:r>
          </w:p>
        </w:tc>
        <w:tc>
          <w:tcPr>
            <w:tcW w:type="dxa" w:w="1440"/>
          </w:tcPr>
          <w:p>
            <w:r>
              <w:rPr>
                <w:rFonts w:ascii="Calibri" w:hAnsi="Calibri"/>
                <w:sz w:val="22"/>
              </w:rPr>
              <w:t>Pre-planned; routine sale under 10b5-1 plan</w:t>
            </w:r>
          </w:p>
        </w:tc>
      </w:tr>
      <w:tr>
        <w:tc>
          <w:tcPr>
            <w:tcW w:type="dxa" w:w="1440"/>
          </w:tcPr>
          <w:p>
            <w:r>
              <w:rPr>
                <w:rFonts w:ascii="Calibri" w:hAnsi="Calibri"/>
                <w:sz w:val="22"/>
              </w:rPr>
              <w:t>Joseph Gebbia</w:t>
            </w:r>
          </w:p>
        </w:tc>
        <w:tc>
          <w:tcPr>
            <w:tcW w:type="dxa" w:w="1440"/>
          </w:tcPr>
          <w:p>
            <w:r>
              <w:rPr>
                <w:rFonts w:ascii="Calibri" w:hAnsi="Calibri"/>
                <w:sz w:val="22"/>
              </w:rPr>
              <w:t>10% Owner, Director</w:t>
            </w:r>
          </w:p>
        </w:tc>
        <w:tc>
          <w:tcPr>
            <w:tcW w:type="dxa" w:w="1440"/>
          </w:tcPr>
          <w:p>
            <w:r>
              <w:rPr>
                <w:rFonts w:ascii="Calibri" w:hAnsi="Calibri"/>
                <w:sz w:val="22"/>
              </w:rPr>
              <w:t>10b5-1 Planned Sale</w:t>
            </w:r>
          </w:p>
        </w:tc>
        <w:tc>
          <w:tcPr>
            <w:tcW w:type="dxa" w:w="1440"/>
          </w:tcPr>
          <w:p>
            <w:r>
              <w:rPr>
                <w:rFonts w:ascii="Calibri" w:hAnsi="Calibri"/>
                <w:sz w:val="22"/>
              </w:rPr>
              <w:t>~$280M (1,828,303 + 265,000 shares)</w:t>
            </w:r>
          </w:p>
        </w:tc>
        <w:tc>
          <w:tcPr>
            <w:tcW w:type="dxa" w:w="1440"/>
          </w:tcPr>
          <w:p>
            <w:r>
              <w:rPr>
                <w:rFonts w:ascii="Calibri" w:hAnsi="Calibri"/>
                <w:sz w:val="22"/>
              </w:rPr>
              <w:t>Jul 27–28, 2026</w:t>
            </w:r>
          </w:p>
        </w:tc>
        <w:tc>
          <w:tcPr>
            <w:tcW w:type="dxa" w:w="1440"/>
          </w:tcPr>
          <w:p>
            <w:r>
              <w:rPr>
                <w:rFonts w:ascii="Calibri" w:hAnsi="Calibri"/>
                <w:sz w:val="22"/>
              </w:rPr>
              <w:t>Large block sale via Sycamore Trust; pre-planned; co-founder monetization</w:t>
            </w:r>
          </w:p>
        </w:tc>
      </w:tr>
      <w:tr>
        <w:tc>
          <w:tcPr>
            <w:tcW w:type="dxa" w:w="1440"/>
          </w:tcPr>
          <w:p>
            <w:r>
              <w:rPr>
                <w:rFonts w:ascii="Calibri" w:hAnsi="Calibri"/>
                <w:sz w:val="22"/>
              </w:rPr>
              <w:t>Nathan Blecharczyk</w:t>
            </w:r>
          </w:p>
        </w:tc>
        <w:tc>
          <w:tcPr>
            <w:tcW w:type="dxa" w:w="1440"/>
          </w:tcPr>
          <w:p>
            <w:r>
              <w:rPr>
                <w:rFonts w:ascii="Calibri" w:hAnsi="Calibri"/>
                <w:sz w:val="22"/>
              </w:rPr>
              <w:t>Chief Strategy Officer, 10% Owner, Director</w:t>
            </w:r>
          </w:p>
        </w:tc>
        <w:tc>
          <w:tcPr>
            <w:tcW w:type="dxa" w:w="1440"/>
          </w:tcPr>
          <w:p>
            <w:r>
              <w:rPr>
                <w:rFonts w:ascii="Calibri" w:hAnsi="Calibri"/>
                <w:sz w:val="22"/>
              </w:rPr>
              <w:t>10b5-1 Planned Sale</w:t>
            </w:r>
          </w:p>
        </w:tc>
        <w:tc>
          <w:tcPr>
            <w:tcW w:type="dxa" w:w="1440"/>
          </w:tcPr>
          <w:p>
            <w:r>
              <w:rPr>
                <w:rFonts w:ascii="Calibri" w:hAnsi="Calibri"/>
                <w:sz w:val="22"/>
              </w:rPr>
              <w:t>~$2.0M (13,615 shares)</w:t>
            </w:r>
          </w:p>
        </w:tc>
        <w:tc>
          <w:tcPr>
            <w:tcW w:type="dxa" w:w="1440"/>
          </w:tcPr>
          <w:p>
            <w:r>
              <w:rPr>
                <w:rFonts w:ascii="Calibri" w:hAnsi="Calibri"/>
                <w:sz w:val="22"/>
              </w:rPr>
              <w:t>Jul 20, 2026</w:t>
            </w:r>
          </w:p>
        </w:tc>
        <w:tc>
          <w:tcPr>
            <w:tcW w:type="dxa" w:w="1440"/>
          </w:tcPr>
          <w:p>
            <w:r>
              <w:rPr>
                <w:rFonts w:ascii="Calibri" w:hAnsi="Calibri"/>
                <w:sz w:val="22"/>
              </w:rPr>
              <w:t>Pre-planned; routine monthly sale under 10b5-1 plan</w:t>
            </w:r>
          </w:p>
        </w:tc>
      </w:tr>
      <w:tr>
        <w:tc>
          <w:tcPr>
            <w:tcW w:type="dxa" w:w="1440"/>
          </w:tcPr>
          <w:p>
            <w:r>
              <w:rPr>
                <w:rFonts w:ascii="Calibri" w:hAnsi="Calibri"/>
                <w:sz w:val="22"/>
              </w:rPr>
              <w:t>Joseph Gebbia</w:t>
            </w:r>
          </w:p>
        </w:tc>
        <w:tc>
          <w:tcPr>
            <w:tcW w:type="dxa" w:w="1440"/>
          </w:tcPr>
          <w:p>
            <w:r>
              <w:rPr>
                <w:rFonts w:ascii="Calibri" w:hAnsi="Calibri"/>
                <w:sz w:val="22"/>
              </w:rPr>
              <w:t>10% Owner, Director</w:t>
            </w:r>
          </w:p>
        </w:tc>
        <w:tc>
          <w:tcPr>
            <w:tcW w:type="dxa" w:w="1440"/>
          </w:tcPr>
          <w:p>
            <w:r>
              <w:rPr>
                <w:rFonts w:ascii="Calibri" w:hAnsi="Calibri"/>
                <w:sz w:val="22"/>
              </w:rPr>
              <w:t>10b5-1 Planned Sale</w:t>
            </w:r>
          </w:p>
        </w:tc>
        <w:tc>
          <w:tcPr>
            <w:tcW w:type="dxa" w:w="1440"/>
          </w:tcPr>
          <w:p>
            <w:r>
              <w:rPr>
                <w:rFonts w:ascii="Calibri" w:hAnsi="Calibri"/>
                <w:sz w:val="22"/>
              </w:rPr>
              <w:t>~$35M (187,024 + 49,577 shares)</w:t>
            </w:r>
          </w:p>
        </w:tc>
        <w:tc>
          <w:tcPr>
            <w:tcW w:type="dxa" w:w="1440"/>
          </w:tcPr>
          <w:p>
            <w:r>
              <w:rPr>
                <w:rFonts w:ascii="Calibri" w:hAnsi="Calibri"/>
                <w:sz w:val="22"/>
              </w:rPr>
              <w:t>Jul 15–16, 2026</w:t>
            </w:r>
          </w:p>
        </w:tc>
        <w:tc>
          <w:tcPr>
            <w:tcW w:type="dxa" w:w="1440"/>
          </w:tcPr>
          <w:p>
            <w:r>
              <w:rPr>
                <w:rFonts w:ascii="Calibri" w:hAnsi="Calibri"/>
                <w:sz w:val="22"/>
              </w:rPr>
              <w:t>Pre-planned; via Sycamore Trust; co-founder monetization</w:t>
            </w:r>
          </w:p>
        </w:tc>
      </w:tr>
      <w:tr>
        <w:tc>
          <w:tcPr>
            <w:tcW w:type="dxa" w:w="1440"/>
          </w:tcPr>
          <w:p>
            <w:r>
              <w:rPr>
                <w:rFonts w:ascii="Calibri" w:hAnsi="Calibri"/>
                <w:sz w:val="22"/>
              </w:rPr>
              <w:t>Joseph Gebbia</w:t>
            </w:r>
          </w:p>
        </w:tc>
        <w:tc>
          <w:tcPr>
            <w:tcW w:type="dxa" w:w="1440"/>
          </w:tcPr>
          <w:p>
            <w:r>
              <w:rPr>
                <w:rFonts w:ascii="Calibri" w:hAnsi="Calibri"/>
                <w:sz w:val="22"/>
              </w:rPr>
              <w:t>10% Owner, Director</w:t>
            </w:r>
          </w:p>
        </w:tc>
        <w:tc>
          <w:tcPr>
            <w:tcW w:type="dxa" w:w="1440"/>
          </w:tcPr>
          <w:p>
            <w:r>
              <w:rPr>
                <w:rFonts w:ascii="Calibri" w:hAnsi="Calibri"/>
                <w:sz w:val="22"/>
              </w:rPr>
              <w:t>10b5-1 Planned Sale</w:t>
            </w:r>
          </w:p>
        </w:tc>
        <w:tc>
          <w:tcPr>
            <w:tcW w:type="dxa" w:w="1440"/>
          </w:tcPr>
          <w:p>
            <w:r>
              <w:rPr>
                <w:rFonts w:ascii="Calibri" w:hAnsi="Calibri"/>
                <w:sz w:val="22"/>
              </w:rPr>
              <w:t>~$39M (265,000 shares)</w:t>
            </w:r>
          </w:p>
        </w:tc>
        <w:tc>
          <w:tcPr>
            <w:tcW w:type="dxa" w:w="1440"/>
          </w:tcPr>
          <w:p>
            <w:r>
              <w:rPr>
                <w:rFonts w:ascii="Calibri" w:hAnsi="Calibri"/>
                <w:sz w:val="22"/>
              </w:rPr>
              <w:t>Jul 13, 2026</w:t>
            </w:r>
          </w:p>
        </w:tc>
        <w:tc>
          <w:tcPr>
            <w:tcW w:type="dxa" w:w="1440"/>
          </w:tcPr>
          <w:p>
            <w:r>
              <w:rPr>
                <w:rFonts w:ascii="Calibri" w:hAnsi="Calibri"/>
                <w:sz w:val="22"/>
              </w:rPr>
              <w:t>Pre-planned; via Sycamore Trust; co-founder monetization</w:t>
            </w:r>
          </w:p>
        </w:tc>
      </w:tr>
      <w:tr>
        <w:tc>
          <w:tcPr>
            <w:tcW w:type="dxa" w:w="1440"/>
          </w:tcPr>
          <w:p>
            <w:r>
              <w:rPr>
                <w:rFonts w:ascii="Calibri" w:hAnsi="Calibri"/>
                <w:sz w:val="22"/>
              </w:rPr>
              <w:t>Elinor Mertz</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~$0.6M (3,750 shares)</w:t>
            </w:r>
          </w:p>
        </w:tc>
        <w:tc>
          <w:tcPr>
            <w:tcW w:type="dxa" w:w="1440"/>
          </w:tcPr>
          <w:p>
            <w:r>
              <w:rPr>
                <w:rFonts w:ascii="Calibri" w:hAnsi="Calibri"/>
                <w:sz w:val="22"/>
              </w:rPr>
              <w:t>Jul 2, 2026</w:t>
            </w:r>
          </w:p>
        </w:tc>
        <w:tc>
          <w:tcPr>
            <w:tcW w:type="dxa" w:w="1440"/>
          </w:tcPr>
          <w:p>
            <w:r>
              <w:rPr>
                <w:rFonts w:ascii="Calibri" w:hAnsi="Calibri"/>
                <w:sz w:val="22"/>
              </w:rPr>
              <w:t>Pre-planned; routine sale under 10b5-1 plan</w:t>
            </w:r>
          </w:p>
        </w:tc>
      </w:tr>
      <w:tr>
        <w:tc>
          <w:tcPr>
            <w:tcW w:type="dxa" w:w="1440"/>
          </w:tcPr>
          <w:p>
            <w:r>
              <w:rPr>
                <w:rFonts w:ascii="Calibri" w:hAnsi="Calibri"/>
                <w:sz w:val="22"/>
              </w:rPr>
              <w:t>Kenneth Chenault</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~$1.2M (8,346 shares)</w:t>
            </w:r>
          </w:p>
        </w:tc>
        <w:tc>
          <w:tcPr>
            <w:tcW w:type="dxa" w:w="1440"/>
          </w:tcPr>
          <w:p>
            <w:r>
              <w:rPr>
                <w:rFonts w:ascii="Calibri" w:hAnsi="Calibri"/>
                <w:sz w:val="22"/>
              </w:rPr>
              <w:t>Jun 29, 2026</w:t>
            </w:r>
          </w:p>
        </w:tc>
        <w:tc>
          <w:tcPr>
            <w:tcW w:type="dxa" w:w="1440"/>
          </w:tcPr>
          <w:p>
            <w:r>
              <w:rPr>
                <w:rFonts w:ascii="Calibri" w:hAnsi="Calibri"/>
                <w:sz w:val="22"/>
              </w:rPr>
              <w:t>Pre-planned; director monetization</w:t>
            </w:r>
          </w:p>
        </w:tc>
      </w:tr>
      <w:tr>
        <w:tc>
          <w:tcPr>
            <w:tcW w:type="dxa" w:w="1440"/>
          </w:tcPr>
          <w:p>
            <w:r>
              <w:rPr>
                <w:rFonts w:ascii="Calibri" w:hAnsi="Calibri"/>
                <w:sz w:val="22"/>
              </w:rPr>
              <w:t>Brian Chesky</w:t>
            </w:r>
          </w:p>
        </w:tc>
        <w:tc>
          <w:tcPr>
            <w:tcW w:type="dxa" w:w="1440"/>
          </w:tcPr>
          <w:p>
            <w:r>
              <w:rPr>
                <w:rFonts w:ascii="Calibri" w:hAnsi="Calibri"/>
                <w:sz w:val="22"/>
              </w:rPr>
              <w:t>CEO and Chairman, 10% Owner, Director</w:t>
            </w:r>
          </w:p>
        </w:tc>
        <w:tc>
          <w:tcPr>
            <w:tcW w:type="dxa" w:w="1440"/>
          </w:tcPr>
          <w:p>
            <w:r>
              <w:rPr>
                <w:rFonts w:ascii="Calibri" w:hAnsi="Calibri"/>
                <w:sz w:val="22"/>
              </w:rPr>
              <w:t>10b5-1 Planned Sale</w:t>
            </w:r>
          </w:p>
        </w:tc>
        <w:tc>
          <w:tcPr>
            <w:tcW w:type="dxa" w:w="1440"/>
          </w:tcPr>
          <w:p>
            <w:r>
              <w:rPr>
                <w:rFonts w:ascii="Calibri" w:hAnsi="Calibri"/>
                <w:sz w:val="22"/>
              </w:rPr>
              <w:t>~$4.3M (30,743 shares)</w:t>
            </w:r>
          </w:p>
        </w:tc>
        <w:tc>
          <w:tcPr>
            <w:tcW w:type="dxa" w:w="1440"/>
          </w:tcPr>
          <w:p>
            <w:r>
              <w:rPr>
                <w:rFonts w:ascii="Calibri" w:hAnsi="Calibri"/>
                <w:sz w:val="22"/>
              </w:rPr>
              <w:t>Jun 15, 2026</w:t>
            </w:r>
          </w:p>
        </w:tc>
        <w:tc>
          <w:tcPr>
            <w:tcW w:type="dxa" w:w="1440"/>
          </w:tcPr>
          <w:p>
            <w:r>
              <w:rPr>
                <w:rFonts w:ascii="Calibri" w:hAnsi="Calibri"/>
                <w:sz w:val="22"/>
              </w:rPr>
              <w:t>Pre-planned; routine CEO sale under 10b5-1 plan</w:t>
            </w:r>
          </w:p>
        </w:tc>
      </w:tr>
      <w:tr>
        <w:tc>
          <w:tcPr>
            <w:tcW w:type="dxa" w:w="1440"/>
          </w:tcPr>
          <w:p>
            <w:r>
              <w:rPr>
                <w:rFonts w:ascii="Calibri" w:hAnsi="Calibri"/>
                <w:sz w:val="22"/>
              </w:rPr>
              <w:t>Brian Chesky</w:t>
            </w:r>
          </w:p>
        </w:tc>
        <w:tc>
          <w:tcPr>
            <w:tcW w:type="dxa" w:w="1440"/>
          </w:tcPr>
          <w:p>
            <w:r>
              <w:rPr>
                <w:rFonts w:ascii="Calibri" w:hAnsi="Calibri"/>
                <w:sz w:val="22"/>
              </w:rPr>
              <w:t>CEO and Chairman, 10% Owner, Director</w:t>
            </w:r>
          </w:p>
        </w:tc>
        <w:tc>
          <w:tcPr>
            <w:tcW w:type="dxa" w:w="1440"/>
          </w:tcPr>
          <w:p>
            <w:r>
              <w:rPr>
                <w:rFonts w:ascii="Calibri" w:hAnsi="Calibri"/>
                <w:sz w:val="22"/>
              </w:rPr>
              <w:t>10b5-1 Planned Sale</w:t>
            </w:r>
          </w:p>
        </w:tc>
        <w:tc>
          <w:tcPr>
            <w:tcW w:type="dxa" w:w="1440"/>
          </w:tcPr>
          <w:p>
            <w:r>
              <w:rPr>
                <w:rFonts w:ascii="Calibri" w:hAnsi="Calibri"/>
                <w:sz w:val="22"/>
              </w:rPr>
              <w:t>~$11.5M (80,848 shares across multiple dates)</w:t>
            </w:r>
          </w:p>
        </w:tc>
        <w:tc>
          <w:tcPr>
            <w:tcW w:type="dxa" w:w="1440"/>
          </w:tcPr>
          <w:p>
            <w:r>
              <w:rPr>
                <w:rFonts w:ascii="Calibri" w:hAnsi="Calibri"/>
                <w:sz w:val="22"/>
              </w:rPr>
              <w:t>May 27 – Jun 9, 2026</w:t>
            </w:r>
          </w:p>
        </w:tc>
        <w:tc>
          <w:tcPr>
            <w:tcW w:type="dxa" w:w="1440"/>
          </w:tcPr>
          <w:p>
            <w:r>
              <w:rPr>
                <w:rFonts w:ascii="Calibri" w:hAnsi="Calibri"/>
                <w:sz w:val="22"/>
              </w:rPr>
              <w:t>Pre-planned; multiple tranches under 10b5-1 plan; routine CEO monetization</w:t>
            </w:r>
          </w:p>
        </w:tc>
      </w:tr>
      <w:tr>
        <w:tc>
          <w:tcPr>
            <w:tcW w:type="dxa" w:w="1440"/>
          </w:tcPr>
          <w:p>
            <w:r>
              <w:rPr>
                <w:rFonts w:ascii="Calibri" w:hAnsi="Calibri"/>
                <w:sz w:val="22"/>
              </w:rPr>
              <w:t>Nathan Blecharczyk</w:t>
            </w:r>
          </w:p>
        </w:tc>
        <w:tc>
          <w:tcPr>
            <w:tcW w:type="dxa" w:w="1440"/>
          </w:tcPr>
          <w:p>
            <w:r>
              <w:rPr>
                <w:rFonts w:ascii="Calibri" w:hAnsi="Calibri"/>
                <w:sz w:val="22"/>
              </w:rPr>
              <w:t>Chief Strategy Officer, 10% Owner, Director</w:t>
            </w:r>
          </w:p>
        </w:tc>
        <w:tc>
          <w:tcPr>
            <w:tcW w:type="dxa" w:w="1440"/>
          </w:tcPr>
          <w:p>
            <w:r>
              <w:rPr>
                <w:rFonts w:ascii="Calibri" w:hAnsi="Calibri"/>
                <w:sz w:val="22"/>
              </w:rPr>
              <w:t>10b5-1 Planned Sale</w:t>
            </w:r>
          </w:p>
        </w:tc>
        <w:tc>
          <w:tcPr>
            <w:tcW w:type="dxa" w:w="1440"/>
          </w:tcPr>
          <w:p>
            <w:r>
              <w:rPr>
                <w:rFonts w:ascii="Calibri" w:hAnsi="Calibri"/>
                <w:sz w:val="22"/>
              </w:rPr>
              <w:t>~$8.7M (60,763 shares)</w:t>
            </w:r>
          </w:p>
        </w:tc>
        <w:tc>
          <w:tcPr>
            <w:tcW w:type="dxa" w:w="1440"/>
          </w:tcPr>
          <w:p>
            <w:r>
              <w:rPr>
                <w:rFonts w:ascii="Calibri" w:hAnsi="Calibri"/>
                <w:sz w:val="22"/>
              </w:rPr>
              <w:t>May 8–11, 2026</w:t>
            </w:r>
          </w:p>
        </w:tc>
        <w:tc>
          <w:tcPr>
            <w:tcW w:type="dxa" w:w="1440"/>
          </w:tcPr>
          <w:p>
            <w:r>
              <w:rPr>
                <w:rFonts w:ascii="Calibri" w:hAnsi="Calibri"/>
                <w:sz w:val="22"/>
              </w:rPr>
              <w:t>Pre-planned; routine sale under 10b5-1 plan</w:t>
            </w:r>
          </w:p>
        </w:tc>
      </w:tr>
    </w:tbl>
    <w:p>
      <w:r>
        <w:rPr>
          <w:rFonts w:ascii="Calibri" w:hAnsi="Calibri"/>
          <w:i/>
          <w:color w:val="525866"/>
          <w:sz w:val="22"/>
        </w:rPr>
        <w:t>Source: SEC Form 4 Filings Database. All transactions are open-market sales (transaction code S) executed under pre-established 10b5-1 trading plans. Share prices estimated based on approximate transaction dates and prevailing market prices. No open-market buys were filed in the period.</w:t>
      </w:r>
    </w:p>
    <w:p>
      <w:r>
        <w:rPr>
          <w:rFonts w:ascii="Calibri" w:hAnsi="Calibri"/>
          <w:color w:val="525866"/>
          <w:sz w:val="22"/>
        </w:rPr>
        <w:t>The most notable transaction is Joseph Gebbia’s large block sale of approximately 2.1 million shares (~$280M) in late July 2026 via the Sycamore Trust — this is consistent with co-founder monetization under a pre-planned program and should not be interpreted as a negative signal about the upcoming print. Brian Chesky’s routine sales are small relative to his ~11M share position. The absence of any discretionary open-market buys across all insiders is neutral — not a negative signal given the universal 10b5-1 plan structure.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