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Airbnb, Inc. (ABNB)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Airbnb, Inc.</w:t>
            </w:r>
          </w:p>
        </w:tc>
        <w:tc>
          <w:tcPr>
            <w:tcW w:type="dxa" w:w="2160"/>
          </w:tcPr>
          <w:p>
            <w:r>
              <w:rPr>
                <w:rFonts w:ascii="Calibri" w:hAnsi="Calibri"/>
                <w:b/>
                <w:sz w:val="22"/>
              </w:rPr>
              <w:t>Ticker</w:t>
            </w:r>
          </w:p>
        </w:tc>
        <w:tc>
          <w:tcPr>
            <w:tcW w:type="dxa" w:w="2160"/>
          </w:tcPr>
          <w:p>
            <w:r>
              <w:rPr>
                <w:rFonts w:ascii="Calibri" w:hAnsi="Calibri"/>
                <w:sz w:val="22"/>
              </w:rPr>
              <w:t>ABNB</w:t>
            </w:r>
          </w:p>
        </w:tc>
      </w:tr>
      <w:tr>
        <w:tc>
          <w:tcPr>
            <w:tcW w:type="dxa" w:w="2160"/>
          </w:tcPr>
          <w:p>
            <w:r>
              <w:rPr>
                <w:rFonts w:ascii="Calibri" w:hAnsi="Calibri"/>
                <w:b/>
                <w:sz w:val="22"/>
              </w:rPr>
              <w:t>Earnings Date</w:t>
            </w:r>
          </w:p>
        </w:tc>
        <w:tc>
          <w:tcPr>
            <w:tcW w:type="dxa" w:w="2160"/>
          </w:tcPr>
          <w:p>
            <w:r>
              <w:rPr>
                <w:rFonts w:ascii="Calibri" w:hAnsi="Calibri"/>
                <w:sz w:val="22"/>
              </w:rPr>
              <w:t>August 6, 2026 (After Market Close)</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August 5, 2026</w:t>
            </w:r>
          </w:p>
        </w:tc>
        <w:tc>
          <w:tcPr>
            <w:tcW w:type="dxa" w:w="2160"/>
          </w:tcPr>
          <w:p>
            <w:r>
              <w:rPr>
                <w:rFonts w:ascii="Calibri" w:hAnsi="Calibri"/>
                <w:b/>
                <w:sz w:val="22"/>
              </w:rPr>
              <w:t>Last Earnings</w:t>
            </w:r>
          </w:p>
        </w:tc>
        <w:tc>
          <w:tcPr>
            <w:tcW w:type="dxa" w:w="2160"/>
          </w:tcPr>
          <w:p>
            <w:r>
              <w:rPr>
                <w:rFonts w:ascii="Calibri" w:hAnsi="Calibri"/>
                <w:sz w:val="22"/>
              </w:rPr>
              <w:t>May 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on revenue — consensus sits comfortably inside the guided range and estimates have drifted modestly higher since the Q1 print — but the biggest swing factor is whether the </w:t>
      </w:r>
      <w:r>
        <w:rPr>
          <w:rFonts w:ascii="Calibri" w:hAnsi="Calibri"/>
          <w:b/>
          <w:color w:val="525866"/>
          <w:sz w:val="22"/>
        </w:rPr>
        <w:t>FIFA World Cup tailwind</w:t>
      </w:r>
      <w:r>
        <w:rPr>
          <w:rFonts w:ascii="Calibri" w:hAnsi="Calibri"/>
          <w:color w:val="525866"/>
          <w:sz w:val="22"/>
        </w:rPr>
        <w:t xml:space="preserve"> and accelerating first-time booker growth can offset the ~100 bps Middle East headwind management flagged.</w:t>
      </w:r>
    </w:p>
    <w:p>
      <w:r>
        <w:rPr>
          <w:rFonts w:ascii="Calibri" w:hAnsi="Calibri"/>
          <w:color w:val="525866"/>
          <w:sz w:val="22"/>
        </w:rPr>
        <w:t xml:space="preserve">Heading into the Q2 2026 print, the bar looks achievable: management guided revenue to $3.54–$3.60B (14–16% YoY growth, inclusive of a ~3% FX tailwind), and current consensus of ~$3.58B sits squarely in the middle of that range, leaving room for a modest beat if demand trends held through June. </w:t>
      </w:r>
      <w:r>
        <w:rPr>
          <w:rFonts w:ascii="Calibri" w:hAnsi="Calibri"/>
          <w:b/>
          <w:color w:val="525866"/>
          <w:sz w:val="22"/>
        </w:rPr>
        <w:t>Management's tone on the Q1 call was notably constructive</w:t>
      </w:r>
      <w:r>
        <w:rPr>
          <w:rFonts w:ascii="Calibri" w:hAnsi="Calibri"/>
          <w:color w:val="525866"/>
          <w:sz w:val="22"/>
        </w:rPr>
        <w:t xml:space="preserve"> — the company raised full-year revenue growth guidance to low-to-mid teens and confirmed an Adjusted EBITDA margin floor of at least 35%, signaling confidence in both the top line and profitability trajectory. Estimate revisions have been broadly stable-to-slightly-higher since the Q1 print, with the 2Q26 Adjusted EPS consensus rising from ~$1.85 to ~$1.76 (reflecting some post-Q1 recalibration on the EPS miss driven by a one-time tax item), while revenue and EBITDA estimates have drifted up — a constructive setup. The stock has rallied ~8.5% since the Q1 print (vs. XLY roughly flat), suggesting the market has partially priced in execution on the raised guidance, which raises the bar for a meaningful upside reaction. The single biggest wildcard is the </w:t>
      </w:r>
    </w:p>
    <w:p>
      <w:r>
        <w:rPr>
          <w:rFonts w:ascii="Calibri" w:hAnsi="Calibri"/>
          <w:b/>
          <w:color w:val="525866"/>
          <w:sz w:val="22"/>
        </w:rPr>
        <w:t>World Cup demand uplift</w:t>
      </w:r>
      <w:r>
        <w:rPr>
          <w:rFonts w:ascii="Calibri" w:hAnsi="Calibri"/>
          <w:color w:val="525866"/>
          <w:sz w:val="22"/>
        </w:rPr>
        <w:t>: ABNB expected to host more guests than at any event in its history across 16 cities in 3 countries, with 100,000+ new listings added in host cities — if GBV and Nights Booked materially exceeded the guided low-double-digit growth, the stock could re-rate higher; conversely, if the Middle East headwind proved stickier than the guided ~100 bps, or if ADR growth decelerated more sharply as the FX tailwind faded (management flagged the FX tailwind to ADR would be "significantly lower" in Q2 vs. Q1), the print could disappoint on GBV even with revenue in-line.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inside guidance on revenue, making it a </w:t>
      </w:r>
    </w:p>
    <w:p>
      <w:r>
        <w:rPr>
          <w:rFonts w:ascii="Calibri" w:hAnsi="Calibri"/>
          <w:b/>
          <w:color w:val="525866"/>
          <w:sz w:val="22"/>
        </w:rPr>
        <w:t>manageable bar</w:t>
      </w:r>
      <w:r>
        <w:rPr>
          <w:rFonts w:ascii="Calibri" w:hAnsi="Calibri"/>
          <w:color w:val="525866"/>
          <w:sz w:val="22"/>
        </w:rPr>
        <w:t xml:space="preserve">; the bigger swing factor is </w:t>
      </w:r>
    </w:p>
    <w:p>
      <w:r>
        <w:rPr>
          <w:rFonts w:ascii="Calibri" w:hAnsi="Calibri"/>
          <w:b/>
          <w:color w:val="525866"/>
          <w:sz w:val="22"/>
        </w:rPr>
        <w:t>Gross Booking Value</w:t>
      </w:r>
      <w:r>
        <w:rPr>
          <w:rFonts w:ascii="Calibri" w:hAnsi="Calibri"/>
          <w:color w:val="525866"/>
          <w:sz w:val="22"/>
        </w:rPr>
        <w:t xml:space="preserve"> and Nights Booked, where the World Cup tailwind vs. Middle East headwind creates the widest range of outcomes.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$2.678B</w:t>
            </w:r>
          </w:p>
        </w:tc>
        <w:tc>
          <w:tcPr>
            <w:tcW w:type="dxa" w:w="1234"/>
          </w:tcPr>
          <w:p>
            <w:r>
              <w:rPr>
                <w:rFonts w:ascii="Calibri" w:hAnsi="Calibri"/>
                <w:sz w:val="22"/>
              </w:rPr>
              <w:t>$3.096B</w:t>
            </w:r>
          </w:p>
        </w:tc>
        <w:tc>
          <w:tcPr>
            <w:tcW w:type="dxa" w:w="1234"/>
          </w:tcPr>
          <w:p>
            <w:r>
              <w:rPr>
                <w:rFonts w:ascii="Calibri" w:hAnsi="Calibri"/>
                <w:sz w:val="22"/>
              </w:rPr>
              <w:t>$3.579B</w:t>
            </w:r>
          </w:p>
        </w:tc>
        <w:tc>
          <w:tcPr>
            <w:tcW w:type="dxa" w:w="1234"/>
          </w:tcPr>
          <w:p>
            <w:r>
              <w:rPr>
                <w:rFonts w:ascii="Calibri" w:hAnsi="Calibri"/>
                <w:sz w:val="22"/>
              </w:rPr>
              <w:t>+15.6%</w:t>
            </w:r>
          </w:p>
        </w:tc>
        <w:tc>
          <w:tcPr>
            <w:tcW w:type="dxa" w:w="1234"/>
          </w:tcPr>
          <w:p>
            <w:r>
              <w:rPr>
                <w:rFonts w:ascii="Calibri" w:hAnsi="Calibri"/>
                <w:sz w:val="22"/>
              </w:rPr>
              <w:t>$3.54B–$3.60B (mid: $3.57B)</w:t>
            </w:r>
          </w:p>
        </w:tc>
        <w:tc>
          <w:tcPr>
            <w:tcW w:type="dxa" w:w="1234"/>
          </w:tcPr>
          <w:p>
            <w:r>
              <w:rPr>
                <w:rFonts w:ascii="Calibri" w:hAnsi="Calibri"/>
                <w:sz w:val="22"/>
              </w:rPr>
              <w:t>+0.3% above mid</w:t>
            </w:r>
          </w:p>
        </w:tc>
      </w:tr>
      <w:tr>
        <w:tc>
          <w:tcPr>
            <w:tcW w:type="dxa" w:w="1234"/>
          </w:tcPr>
          <w:p>
            <w:r>
              <w:rPr>
                <w:rFonts w:ascii="Calibri" w:hAnsi="Calibri"/>
                <w:sz w:val="22"/>
              </w:rPr>
              <w:t>Gross Booking Value ($B)</w:t>
            </w:r>
          </w:p>
        </w:tc>
        <w:tc>
          <w:tcPr>
            <w:tcW w:type="dxa" w:w="1234"/>
          </w:tcPr>
          <w:p>
            <w:r>
              <w:rPr>
                <w:rFonts w:ascii="Calibri" w:hAnsi="Calibri"/>
                <w:sz w:val="22"/>
              </w:rPr>
              <w:t>$29.18B</w:t>
            </w:r>
          </w:p>
        </w:tc>
        <w:tc>
          <w:tcPr>
            <w:tcW w:type="dxa" w:w="1234"/>
          </w:tcPr>
          <w:p>
            <w:r>
              <w:rPr>
                <w:rFonts w:ascii="Calibri" w:hAnsi="Calibri"/>
                <w:sz w:val="22"/>
              </w:rPr>
              <w:t>$23.50B</w:t>
            </w:r>
          </w:p>
        </w:tc>
        <w:tc>
          <w:tcPr>
            <w:tcW w:type="dxa" w:w="1234"/>
          </w:tcPr>
          <w:p>
            <w:r>
              <w:rPr>
                <w:rFonts w:ascii="Calibri" w:hAnsi="Calibri"/>
                <w:sz w:val="22"/>
              </w:rPr>
              <w:t>$26.48B</w:t>
            </w:r>
          </w:p>
        </w:tc>
        <w:tc>
          <w:tcPr>
            <w:tcW w:type="dxa" w:w="1234"/>
          </w:tcPr>
          <w:p>
            <w:r>
              <w:rPr>
                <w:rFonts w:ascii="Calibri" w:hAnsi="Calibri"/>
                <w:sz w:val="22"/>
              </w:rPr>
              <w:t>+12.7%</w:t>
            </w:r>
          </w:p>
        </w:tc>
        <w:tc>
          <w:tcPr>
            <w:tcW w:type="dxa" w:w="1234"/>
          </w:tcPr>
          <w:p>
            <w:r>
              <w:rPr>
                <w:rFonts w:ascii="Calibri" w:hAnsi="Calibri"/>
                <w:sz w:val="22"/>
              </w:rPr>
              <w:t>Low double digits YoY</w:t>
            </w:r>
          </w:p>
        </w:tc>
        <w:tc>
          <w:tcPr>
            <w:tcW w:type="dxa" w:w="1234"/>
          </w:tcPr>
          <w:p>
            <w:r>
              <w:rPr>
                <w:rFonts w:ascii="Calibri" w:hAnsi="Calibri"/>
                <w:sz w:val="22"/>
              </w:rPr>
              <w:t>~In-line with guidance</w:t>
            </w:r>
          </w:p>
        </w:tc>
      </w:tr>
      <w:tr>
        <w:tc>
          <w:tcPr>
            <w:tcW w:type="dxa" w:w="1234"/>
          </w:tcPr>
          <w:p>
            <w:r>
              <w:rPr>
                <w:rFonts w:ascii="Calibri" w:hAnsi="Calibri"/>
                <w:sz w:val="22"/>
              </w:rPr>
              <w:t>Nights &amp; Experiences Booked (M)</w:t>
            </w:r>
          </w:p>
        </w:tc>
        <w:tc>
          <w:tcPr>
            <w:tcW w:type="dxa" w:w="1234"/>
          </w:tcPr>
          <w:p>
            <w:r>
              <w:rPr>
                <w:rFonts w:ascii="Calibri" w:hAnsi="Calibri"/>
                <w:sz w:val="22"/>
              </w:rPr>
              <w:t>156.2M</w:t>
            </w:r>
          </w:p>
        </w:tc>
        <w:tc>
          <w:tcPr>
            <w:tcW w:type="dxa" w:w="1234"/>
          </w:tcPr>
          <w:p>
            <w:r>
              <w:rPr>
                <w:rFonts w:ascii="Calibri" w:hAnsi="Calibri"/>
                <w:sz w:val="22"/>
              </w:rPr>
              <w:t>134.4M</w:t>
            </w:r>
          </w:p>
        </w:tc>
        <w:tc>
          <w:tcPr>
            <w:tcW w:type="dxa" w:w="1234"/>
          </w:tcPr>
          <w:p>
            <w:r>
              <w:rPr>
                <w:rFonts w:ascii="Calibri" w:hAnsi="Calibri"/>
                <w:sz w:val="22"/>
              </w:rPr>
              <w:t>145.7M</w:t>
            </w:r>
          </w:p>
        </w:tc>
        <w:tc>
          <w:tcPr>
            <w:tcW w:type="dxa" w:w="1234"/>
          </w:tcPr>
          <w:p>
            <w:r>
              <w:rPr>
                <w:rFonts w:ascii="Calibri" w:hAnsi="Calibri"/>
                <w:sz w:val="22"/>
              </w:rPr>
              <w:t>+8.4%</w:t>
            </w:r>
          </w:p>
        </w:tc>
        <w:tc>
          <w:tcPr>
            <w:tcW w:type="dxa" w:w="1234"/>
          </w:tcPr>
          <w:p>
            <w:r>
              <w:rPr>
                <w:rFonts w:ascii="Calibri" w:hAnsi="Calibri"/>
                <w:sz w:val="22"/>
              </w:rPr>
              <w:t>Slight decel vs. Q1 (+9%); ~100 bps ME headwind</w:t>
            </w:r>
          </w:p>
        </w:tc>
        <w:tc>
          <w:tcPr>
            <w:tcW w:type="dxa" w:w="1234"/>
          </w:tcPr>
          <w:p>
            <w:r>
              <w:rPr>
                <w:rFonts w:ascii="Calibri" w:hAnsi="Calibri"/>
                <w:sz w:val="22"/>
              </w:rPr>
              <w:t>~In-line with guidance</w:t>
            </w:r>
          </w:p>
        </w:tc>
      </w:tr>
      <w:tr>
        <w:tc>
          <w:tcPr>
            <w:tcW w:type="dxa" w:w="1234"/>
          </w:tcPr>
          <w:p>
            <w:r>
              <w:rPr>
                <w:rFonts w:ascii="Calibri" w:hAnsi="Calibri"/>
                <w:sz w:val="22"/>
              </w:rPr>
              <w:t>Adjusted EBITDA ($B)</w:t>
            </w:r>
          </w:p>
        </w:tc>
        <w:tc>
          <w:tcPr>
            <w:tcW w:type="dxa" w:w="1234"/>
          </w:tcPr>
          <w:p>
            <w:r>
              <w:rPr>
                <w:rFonts w:ascii="Calibri" w:hAnsi="Calibri"/>
                <w:sz w:val="22"/>
              </w:rPr>
              <w:t>$0.519B</w:t>
            </w:r>
          </w:p>
        </w:tc>
        <w:tc>
          <w:tcPr>
            <w:tcW w:type="dxa" w:w="1234"/>
          </w:tcPr>
          <w:p>
            <w:r>
              <w:rPr>
                <w:rFonts w:ascii="Calibri" w:hAnsi="Calibri"/>
                <w:sz w:val="22"/>
              </w:rPr>
              <w:t>$1.043B</w:t>
            </w:r>
          </w:p>
        </w:tc>
        <w:tc>
          <w:tcPr>
            <w:tcW w:type="dxa" w:w="1234"/>
          </w:tcPr>
          <w:p>
            <w:r>
              <w:rPr>
                <w:rFonts w:ascii="Calibri" w:hAnsi="Calibri"/>
                <w:sz w:val="22"/>
              </w:rPr>
              <w:t>$1.229B</w:t>
            </w:r>
          </w:p>
        </w:tc>
        <w:tc>
          <w:tcPr>
            <w:tcW w:type="dxa" w:w="1234"/>
          </w:tcPr>
          <w:p>
            <w:r>
              <w:rPr>
                <w:rFonts w:ascii="Calibri" w:hAnsi="Calibri"/>
                <w:sz w:val="22"/>
              </w:rPr>
              <w:t>+17.8%</w:t>
            </w:r>
          </w:p>
        </w:tc>
        <w:tc>
          <w:tcPr>
            <w:tcW w:type="dxa" w:w="1234"/>
          </w:tcPr>
          <w:p>
            <w:r>
              <w:rPr>
                <w:rFonts w:ascii="Calibri" w:hAnsi="Calibri"/>
                <w:sz w:val="22"/>
              </w:rPr>
              <w:t>Up YoY; margin up YoY</w:t>
            </w:r>
          </w:p>
        </w:tc>
        <w:tc>
          <w:tcPr>
            <w:tcW w:type="dxa" w:w="1234"/>
          </w:tcPr>
          <w:p>
            <w:r>
              <w:rPr>
                <w:rFonts w:ascii="Calibri" w:hAnsi="Calibri"/>
                <w:sz w:val="22"/>
              </w:rPr>
              <w:t>N/A — no $ guidance given</w:t>
            </w:r>
          </w:p>
        </w:tc>
      </w:tr>
      <w:tr>
        <w:tc>
          <w:tcPr>
            <w:tcW w:type="dxa" w:w="1234"/>
          </w:tcPr>
          <w:p>
            <w:r>
              <w:rPr>
                <w:rFonts w:ascii="Calibri" w:hAnsi="Calibri"/>
                <w:sz w:val="22"/>
              </w:rPr>
              <w:t>Adj. EPS (Diluted, Operating)</w:t>
            </w:r>
          </w:p>
        </w:tc>
        <w:tc>
          <w:tcPr>
            <w:tcW w:type="dxa" w:w="1234"/>
          </w:tcPr>
          <w:p>
            <w:r>
              <w:rPr>
                <w:rFonts w:ascii="Calibri" w:hAnsi="Calibri"/>
                <w:sz w:val="22"/>
              </w:rPr>
              <w:t>$0.72</w:t>
            </w:r>
          </w:p>
        </w:tc>
        <w:tc>
          <w:tcPr>
            <w:tcW w:type="dxa" w:w="1234"/>
          </w:tcPr>
          <w:p>
            <w:r>
              <w:rPr>
                <w:rFonts w:ascii="Calibri" w:hAnsi="Calibri"/>
                <w:sz w:val="22"/>
              </w:rPr>
              <w:t>$1.48</w:t>
            </w:r>
          </w:p>
        </w:tc>
        <w:tc>
          <w:tcPr>
            <w:tcW w:type="dxa" w:w="1234"/>
          </w:tcPr>
          <w:p>
            <w:r>
              <w:rPr>
                <w:rFonts w:ascii="Calibri" w:hAnsi="Calibri"/>
                <w:sz w:val="22"/>
              </w:rPr>
              <w:t>$1.76</w:t>
            </w:r>
          </w:p>
        </w:tc>
        <w:tc>
          <w:tcPr>
            <w:tcW w:type="dxa" w:w="1234"/>
          </w:tcPr>
          <w:p>
            <w:r>
              <w:rPr>
                <w:rFonts w:ascii="Calibri" w:hAnsi="Calibri"/>
                <w:sz w:val="22"/>
              </w:rPr>
              <w:t>+18.9%</w:t>
            </w:r>
          </w:p>
        </w:tc>
        <w:tc>
          <w:tcPr>
            <w:tcW w:type="dxa" w:w="1234"/>
          </w:tcPr>
          <w:p>
            <w:r>
              <w:rPr>
                <w:rFonts w:ascii="Calibri" w:hAnsi="Calibri"/>
                <w:sz w:val="22"/>
              </w:rPr>
              <w:t>No specific EPS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(Total Revenue, GBV, Nights &amp; Experiences Booked, Adjusted EBITDA, Adjusted EPS); Q1 2026 Earnings Release and Transcript (guidance figures). Q1 2026 Actual reflects the quarter ended March 31, 2026; Q2 2025 Actual reflects the quarter ended June 30, 2025.</w:t>
      </w:r>
    </w:p>
    <w:p>
      <w:pPr>
        <w:pStyle w:val="Heading3"/>
      </w:pPr>
      <w:r>
        <w:rPr>
          <w:rFonts w:ascii="Calibri" w:hAnsi="Calibri"/>
          <w:b/>
          <w:color w:val="3B4259"/>
          <w:sz w:val="24"/>
        </w:rPr>
        <w:t>Table 2 — Beat / Miss History (Last 8 Quarters, Top 2 KPIs)</w:t>
      </w:r>
    </w:p>
    <w:p>
      <w:r>
        <w:rPr>
          <w:rFonts w:ascii="Calibri" w:hAnsi="Calibri"/>
          <w:b/>
          <w:color w:val="525866"/>
          <w:sz w:val="22"/>
        </w:rPr>
        <w:t>Top 2 KPIs: Total Revenue and Nights &amp; Experiences Booked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$2.678B</w:t>
            </w:r>
          </w:p>
        </w:tc>
        <w:tc>
          <w:tcPr>
            <w:tcW w:type="dxa" w:w="1440"/>
          </w:tcPr>
          <w:p>
            <w:r>
              <w:rPr>
                <w:rFonts w:ascii="Calibri" w:hAnsi="Calibri"/>
                <w:sz w:val="22"/>
              </w:rPr>
              <w:t>$2.621B</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Nights Booked</w:t>
            </w:r>
          </w:p>
        </w:tc>
        <w:tc>
          <w:tcPr>
            <w:tcW w:type="dxa" w:w="1440"/>
          </w:tcPr>
          <w:p>
            <w:r>
              <w:rPr>
                <w:rFonts w:ascii="Calibri" w:hAnsi="Calibri"/>
                <w:sz w:val="22"/>
              </w:rPr>
              <w:t>156.2M</w:t>
            </w:r>
          </w:p>
        </w:tc>
        <w:tc>
          <w:tcPr>
            <w:tcW w:type="dxa" w:w="1440"/>
          </w:tcPr>
          <w:p>
            <w:r>
              <w:rPr>
                <w:rFonts w:ascii="Calibri" w:hAnsi="Calibri"/>
                <w:sz w:val="22"/>
              </w:rPr>
              <w:t>155.9M</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$2.778B</w:t>
            </w:r>
          </w:p>
        </w:tc>
        <w:tc>
          <w:tcPr>
            <w:tcW w:type="dxa" w:w="1440"/>
          </w:tcPr>
          <w:p>
            <w:r>
              <w:rPr>
                <w:rFonts w:ascii="Calibri" w:hAnsi="Calibri"/>
                <w:sz w:val="22"/>
              </w:rPr>
              <w:t>$2.715B</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Nights Booked</w:t>
            </w:r>
          </w:p>
        </w:tc>
        <w:tc>
          <w:tcPr>
            <w:tcW w:type="dxa" w:w="1440"/>
          </w:tcPr>
          <w:p>
            <w:r>
              <w:rPr>
                <w:rFonts w:ascii="Calibri" w:hAnsi="Calibri"/>
                <w:sz w:val="22"/>
              </w:rPr>
              <w:t>121.9M</w:t>
            </w:r>
          </w:p>
        </w:tc>
        <w:tc>
          <w:tcPr>
            <w:tcW w:type="dxa" w:w="1440"/>
          </w:tcPr>
          <w:p>
            <w:r>
              <w:rPr>
                <w:rFonts w:ascii="Calibri" w:hAnsi="Calibri"/>
                <w:sz w:val="22"/>
              </w:rPr>
              <w:t>118.0M</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$4.095B</w:t>
            </w:r>
          </w:p>
        </w:tc>
        <w:tc>
          <w:tcPr>
            <w:tcW w:type="dxa" w:w="1440"/>
          </w:tcPr>
          <w:p>
            <w:r>
              <w:rPr>
                <w:rFonts w:ascii="Calibri" w:hAnsi="Calibri"/>
                <w:sz w:val="22"/>
              </w:rPr>
              <w:t>$4.079B</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Nights Booked</w:t>
            </w:r>
          </w:p>
        </w:tc>
        <w:tc>
          <w:tcPr>
            <w:tcW w:type="dxa" w:w="1440"/>
          </w:tcPr>
          <w:p>
            <w:r>
              <w:rPr>
                <w:rFonts w:ascii="Calibri" w:hAnsi="Calibri"/>
                <w:sz w:val="22"/>
              </w:rPr>
              <w:t>133.6M</w:t>
            </w:r>
          </w:p>
        </w:tc>
        <w:tc>
          <w:tcPr>
            <w:tcW w:type="dxa" w:w="1440"/>
          </w:tcPr>
          <w:p>
            <w:r>
              <w:rPr>
                <w:rFonts w:ascii="Calibri" w:hAnsi="Calibri"/>
                <w:sz w:val="22"/>
              </w:rPr>
              <w:t>131.9M</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$3.096B</w:t>
            </w:r>
          </w:p>
        </w:tc>
        <w:tc>
          <w:tcPr>
            <w:tcW w:type="dxa" w:w="1440"/>
          </w:tcPr>
          <w:p>
            <w:r>
              <w:rPr>
                <w:rFonts w:ascii="Calibri" w:hAnsi="Calibri"/>
                <w:sz w:val="22"/>
              </w:rPr>
              <w:t>$3.031B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Nights Booked</w:t>
            </w:r>
          </w:p>
        </w:tc>
        <w:tc>
          <w:tcPr>
            <w:tcW w:type="dxa" w:w="1440"/>
          </w:tcPr>
          <w:p>
            <w:r>
              <w:rPr>
                <w:rFonts w:ascii="Calibri" w:hAnsi="Calibri"/>
                <w:sz w:val="22"/>
              </w:rPr>
              <w:t>134.4M</w:t>
            </w:r>
          </w:p>
        </w:tc>
        <w:tc>
          <w:tcPr>
            <w:tcW w:type="dxa" w:w="1440"/>
          </w:tcPr>
          <w:p>
            <w:r>
              <w:rPr>
                <w:rFonts w:ascii="Calibri" w:hAnsi="Calibri"/>
                <w:sz w:val="22"/>
              </w:rPr>
              <w:t>133.6M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$2.272B</w:t>
            </w:r>
          </w:p>
        </w:tc>
        <w:tc>
          <w:tcPr>
            <w:tcW w:type="dxa" w:w="1440"/>
          </w:tcPr>
          <w:p>
            <w:r>
              <w:rPr>
                <w:rFonts w:ascii="Calibri" w:hAnsi="Calibri"/>
                <w:sz w:val="22"/>
              </w:rPr>
              <w:t>$2.259B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Nights Booked</w:t>
            </w:r>
          </w:p>
        </w:tc>
        <w:tc>
          <w:tcPr>
            <w:tcW w:type="dxa" w:w="1440"/>
          </w:tcPr>
          <w:p>
            <w:r>
              <w:rPr>
                <w:rFonts w:ascii="Calibri" w:hAnsi="Calibri"/>
                <w:sz w:val="22"/>
              </w:rPr>
              <w:t>143.1M</w:t>
            </w:r>
          </w:p>
        </w:tc>
        <w:tc>
          <w:tcPr>
            <w:tcW w:type="dxa" w:w="1440"/>
          </w:tcPr>
          <w:p>
            <w:r>
              <w:rPr>
                <w:rFonts w:ascii="Calibri" w:hAnsi="Calibri"/>
                <w:sz w:val="22"/>
              </w:rPr>
              <w:t>143.6M</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$2.480B</w:t>
            </w:r>
          </w:p>
        </w:tc>
        <w:tc>
          <w:tcPr>
            <w:tcW w:type="dxa" w:w="1440"/>
          </w:tcPr>
          <w:p>
            <w:r>
              <w:rPr>
                <w:rFonts w:ascii="Calibri" w:hAnsi="Calibri"/>
                <w:sz w:val="22"/>
              </w:rPr>
              <w:t>$2.420B</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Nights Booked</w:t>
            </w:r>
          </w:p>
        </w:tc>
        <w:tc>
          <w:tcPr>
            <w:tcW w:type="dxa" w:w="1440"/>
          </w:tcPr>
          <w:p>
            <w:r>
              <w:rPr>
                <w:rFonts w:ascii="Calibri" w:hAnsi="Calibri"/>
                <w:sz w:val="22"/>
              </w:rPr>
              <w:t>111.0M</w:t>
            </w:r>
          </w:p>
        </w:tc>
        <w:tc>
          <w:tcPr>
            <w:tcW w:type="dxa" w:w="1440"/>
          </w:tcPr>
          <w:p>
            <w:r>
              <w:rPr>
                <w:rFonts w:ascii="Calibri" w:hAnsi="Calibri"/>
                <w:sz w:val="22"/>
              </w:rPr>
              <w:t>108.3M</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$3.732B</w:t>
            </w:r>
          </w:p>
        </w:tc>
        <w:tc>
          <w:tcPr>
            <w:tcW w:type="dxa" w:w="1440"/>
          </w:tcPr>
          <w:p>
            <w:r>
              <w:rPr>
                <w:rFonts w:ascii="Calibri" w:hAnsi="Calibri"/>
                <w:sz w:val="22"/>
              </w:rPr>
              <w:t>$3.716B</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Nights Booked</w:t>
            </w:r>
          </w:p>
        </w:tc>
        <w:tc>
          <w:tcPr>
            <w:tcW w:type="dxa" w:w="1440"/>
          </w:tcPr>
          <w:p>
            <w:r>
              <w:rPr>
                <w:rFonts w:ascii="Calibri" w:hAnsi="Calibri"/>
                <w:sz w:val="22"/>
              </w:rPr>
              <w:t>122.8M</w:t>
            </w:r>
          </w:p>
        </w:tc>
        <w:tc>
          <w:tcPr>
            <w:tcW w:type="dxa" w:w="1440"/>
          </w:tcPr>
          <w:p>
            <w:r>
              <w:rPr>
                <w:rFonts w:ascii="Calibri" w:hAnsi="Calibri"/>
                <w:sz w:val="22"/>
              </w:rPr>
              <w:t>121.3M</w:t>
            </w:r>
          </w:p>
        </w:tc>
        <w:tc>
          <w:tcPr>
            <w:tcW w:type="dxa" w:w="1440"/>
          </w:tcPr>
          <w:p>
            <w:r>
              <w:rPr>
                <w:rFonts w:ascii="Calibri" w:hAnsi="Calibri"/>
                <w:b/>
                <w:color w:val="30A46C"/>
                <w:sz w:val="22"/>
              </w:rPr>
              <w:t>+1.3%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ABNB has beaten revenue consensus in 7 of the last 8 quarters, with surprise magnitudes consistently in the +0.4% to +2.5% range — a tight but reliable beat pattern. Nights Booked has been more variable, with one miss (Q1 2025), suggesting volume is the harder metric to predict.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w:t>
      </w:r>
    </w:p>
    <w:p>
      <w:r>
        <w:rPr>
          <w:rFonts w:ascii="Calibri" w:hAnsi="Calibri"/>
          <w:b/>
          <w:color w:val="525866"/>
          <w:sz w:val="22"/>
        </w:rPr>
        <w:t>raised full-year guidance</w:t>
      </w:r>
      <w:r>
        <w:rPr>
          <w:rFonts w:ascii="Calibri" w:hAnsi="Calibri"/>
          <w:color w:val="525866"/>
          <w:sz w:val="22"/>
        </w:rPr>
        <w:t xml:space="preserve"> on the Q1 call and has not issued any subsequent updates; tone is constructive, with confidence grounded in product-driven demand acceleration and monetization gains. No post-earnings guidance revisions have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$3.54B–$3.60B (+14% to +16% YoY, incl. ~3% FX tailwind)</w:t>
            </w:r>
          </w:p>
        </w:tc>
        <w:tc>
          <w:tcPr>
            <w:tcW w:type="dxa" w:w="1728"/>
          </w:tcPr>
          <w:p>
            <w:r>
              <w:rPr>
                <w:rFonts w:ascii="Calibri" w:hAnsi="Calibri"/>
                <w:sz w:val="22"/>
              </w:rPr>
              <w:t>—</w:t>
            </w:r>
          </w:p>
        </w:tc>
        <w:tc>
          <w:tcPr>
            <w:tcW w:type="dxa" w:w="1728"/>
          </w:tcPr>
          <w:p>
            <w:r>
              <w:rPr>
                <w:rFonts w:ascii="Calibri" w:hAnsi="Calibri"/>
                <w:sz w:val="22"/>
              </w:rPr>
              <w:t>$3.579B</w:t>
            </w:r>
          </w:p>
        </w:tc>
        <w:tc>
          <w:tcPr>
            <w:tcW w:type="dxa" w:w="1728"/>
          </w:tcPr>
          <w:p>
            <w:r>
              <w:rPr>
                <w:rFonts w:ascii="Calibri" w:hAnsi="Calibri"/>
                <w:sz w:val="22"/>
              </w:rPr>
              <w:t>No post-earnings update; consensus sits at midpoint of range</w:t>
            </w:r>
          </w:p>
        </w:tc>
      </w:tr>
      <w:tr>
        <w:tc>
          <w:tcPr>
            <w:tcW w:type="dxa" w:w="1728"/>
          </w:tcPr>
          <w:p>
            <w:r>
              <w:rPr>
                <w:rFonts w:ascii="Calibri" w:hAnsi="Calibri"/>
                <w:sz w:val="22"/>
              </w:rPr>
              <w:t>Q2 2026 GBV</w:t>
            </w:r>
          </w:p>
        </w:tc>
        <w:tc>
          <w:tcPr>
            <w:tcW w:type="dxa" w:w="1728"/>
          </w:tcPr>
          <w:p>
            <w:r>
              <w:rPr>
                <w:rFonts w:ascii="Calibri" w:hAnsi="Calibri"/>
                <w:sz w:val="22"/>
              </w:rPr>
              <w:t>Low double digits YoY growth; driven by Nights Booked growth + moderate ADR increase</w:t>
            </w:r>
          </w:p>
        </w:tc>
        <w:tc>
          <w:tcPr>
            <w:tcW w:type="dxa" w:w="1728"/>
          </w:tcPr>
          <w:p>
            <w:r>
              <w:rPr>
                <w:rFonts w:ascii="Calibri" w:hAnsi="Calibri"/>
                <w:sz w:val="22"/>
              </w:rPr>
              <w:t>—</w:t>
            </w:r>
          </w:p>
        </w:tc>
        <w:tc>
          <w:tcPr>
            <w:tcW w:type="dxa" w:w="1728"/>
          </w:tcPr>
          <w:p>
            <w:r>
              <w:rPr>
                <w:rFonts w:ascii="Calibri" w:hAnsi="Calibri"/>
                <w:sz w:val="22"/>
              </w:rPr>
              <w:t>$26.48B (+12.7% YoY)</w:t>
            </w:r>
          </w:p>
        </w:tc>
        <w:tc>
          <w:tcPr>
            <w:tcW w:type="dxa" w:w="1728"/>
          </w:tcPr>
          <w:p>
            <w:r>
              <w:rPr>
                <w:rFonts w:ascii="Calibri" w:hAnsi="Calibri"/>
                <w:sz w:val="22"/>
              </w:rPr>
              <w:t>FX tailwind to ADR expected to be significantly lower in Q2 vs. Q1</w:t>
            </w:r>
          </w:p>
        </w:tc>
      </w:tr>
      <w:tr>
        <w:tc>
          <w:tcPr>
            <w:tcW w:type="dxa" w:w="1728"/>
          </w:tcPr>
          <w:p>
            <w:r>
              <w:rPr>
                <w:rFonts w:ascii="Calibri" w:hAnsi="Calibri"/>
                <w:sz w:val="22"/>
              </w:rPr>
              <w:t>Q2 2026 Nights Booked</w:t>
            </w:r>
          </w:p>
        </w:tc>
        <w:tc>
          <w:tcPr>
            <w:tcW w:type="dxa" w:w="1728"/>
          </w:tcPr>
          <w:p>
            <w:r>
              <w:rPr>
                <w:rFonts w:ascii="Calibri" w:hAnsi="Calibri"/>
                <w:sz w:val="22"/>
              </w:rPr>
              <w:t>Slight deceleration vs. Q1 (+9%); ~100 bps headwind from Middle East conflict</w:t>
            </w:r>
          </w:p>
        </w:tc>
        <w:tc>
          <w:tcPr>
            <w:tcW w:type="dxa" w:w="1728"/>
          </w:tcPr>
          <w:p>
            <w:r>
              <w:rPr>
                <w:rFonts w:ascii="Calibri" w:hAnsi="Calibri"/>
                <w:sz w:val="22"/>
              </w:rPr>
              <w:t>—</w:t>
            </w:r>
          </w:p>
        </w:tc>
        <w:tc>
          <w:tcPr>
            <w:tcW w:type="dxa" w:w="1728"/>
          </w:tcPr>
          <w:p>
            <w:r>
              <w:rPr>
                <w:rFonts w:ascii="Calibri" w:hAnsi="Calibri"/>
                <w:sz w:val="22"/>
              </w:rPr>
              <w:t>145.7M (+8.4% YoY)</w:t>
            </w:r>
          </w:p>
        </w:tc>
        <w:tc>
          <w:tcPr>
            <w:tcW w:type="dxa" w:w="1728"/>
          </w:tcPr>
          <w:p>
            <w:r>
              <w:rPr>
                <w:rFonts w:ascii="Calibri" w:hAnsi="Calibri"/>
                <w:sz w:val="22"/>
              </w:rPr>
              <w:t>World Cup expected to be largest event in ABNB history; 100K+ new listings in host cities</w:t>
            </w:r>
          </w:p>
        </w:tc>
      </w:tr>
      <w:tr>
        <w:tc>
          <w:tcPr>
            <w:tcW w:type="dxa" w:w="1728"/>
          </w:tcPr>
          <w:p>
            <w:r>
              <w:rPr>
                <w:rFonts w:ascii="Calibri" w:hAnsi="Calibri"/>
                <w:sz w:val="22"/>
              </w:rPr>
              <w:t>Q2 2026 Adj. EBITDA Margin</w:t>
            </w:r>
          </w:p>
        </w:tc>
        <w:tc>
          <w:tcPr>
            <w:tcW w:type="dxa" w:w="1728"/>
          </w:tcPr>
          <w:p>
            <w:r>
              <w:rPr>
                <w:rFonts w:ascii="Calibri" w:hAnsi="Calibri"/>
                <w:sz w:val="22"/>
              </w:rPr>
              <w:t>Up YoY (no specific $ or % target given)</w:t>
            </w:r>
          </w:p>
        </w:tc>
        <w:tc>
          <w:tcPr>
            <w:tcW w:type="dxa" w:w="1728"/>
          </w:tcPr>
          <w:p>
            <w:r>
              <w:rPr>
                <w:rFonts w:ascii="Calibri" w:hAnsi="Calibri"/>
                <w:sz w:val="22"/>
              </w:rPr>
              <w:t>—</w:t>
            </w:r>
          </w:p>
        </w:tc>
        <w:tc>
          <w:tcPr>
            <w:tcW w:type="dxa" w:w="1728"/>
          </w:tcPr>
          <w:p>
            <w:r>
              <w:rPr>
                <w:rFonts w:ascii="Calibri" w:hAnsi="Calibri"/>
                <w:sz w:val="22"/>
              </w:rPr>
              <w:t>$1.229B (implied ~34.3% margin)</w:t>
            </w:r>
          </w:p>
        </w:tc>
        <w:tc>
          <w:tcPr>
            <w:tcW w:type="dxa" w:w="1728"/>
          </w:tcPr>
          <w:p>
            <w:r>
              <w:rPr>
                <w:rFonts w:ascii="Calibri" w:hAnsi="Calibri"/>
                <w:sz w:val="22"/>
              </w:rPr>
              <w:t>Consistent with FY26 floor of ≥35% EBITDA margin</w:t>
            </w:r>
          </w:p>
        </w:tc>
      </w:tr>
      <w:tr>
        <w:tc>
          <w:tcPr>
            <w:tcW w:type="dxa" w:w="1728"/>
          </w:tcPr>
          <w:p>
            <w:r>
              <w:rPr>
                <w:rFonts w:ascii="Calibri" w:hAnsi="Calibri"/>
                <w:sz w:val="22"/>
              </w:rPr>
              <w:t>FY 2026 Revenue Growth</w:t>
            </w:r>
          </w:p>
        </w:tc>
        <w:tc>
          <w:tcPr>
            <w:tcW w:type="dxa" w:w="1728"/>
          </w:tcPr>
          <w:p>
            <w:r>
              <w:rPr>
                <w:rFonts w:ascii="Calibri" w:hAnsi="Calibri"/>
                <w:sz w:val="22"/>
              </w:rPr>
              <w:t>↑ Raised to low-to-mid teens YoY (prior: low teens)</w:t>
            </w:r>
          </w:p>
        </w:tc>
        <w:tc>
          <w:tcPr>
            <w:tcW w:type="dxa" w:w="1728"/>
          </w:tcPr>
          <w:p>
            <w:r>
              <w:rPr>
                <w:rFonts w:ascii="Calibri" w:hAnsi="Calibri"/>
                <w:sz w:val="22"/>
              </w:rPr>
              <w:t>—</w:t>
            </w:r>
          </w:p>
        </w:tc>
        <w:tc>
          <w:tcPr>
            <w:tcW w:type="dxa" w:w="1728"/>
          </w:tcPr>
          <w:p>
            <w:r>
              <w:rPr>
                <w:rFonts w:ascii="Calibri" w:hAnsi="Calibri"/>
                <w:sz w:val="22"/>
              </w:rPr>
              <w:t>$13.96B (+13.5% YoY)</w:t>
            </w:r>
          </w:p>
        </w:tc>
        <w:tc>
          <w:tcPr>
            <w:tcW w:type="dxa" w:w="1728"/>
          </w:tcPr>
          <w:p>
            <w:r>
              <w:rPr>
                <w:rFonts w:ascii="Calibri" w:hAnsi="Calibri"/>
                <w:sz w:val="22"/>
              </w:rPr>
              <w:t>↑ Raised at Q1 2026 earnings call May 7, 2026; driven by monetization gains (single service fee, insurance) and product momentum</w:t>
            </w:r>
          </w:p>
        </w:tc>
      </w:tr>
      <w:tr>
        <w:tc>
          <w:tcPr>
            <w:tcW w:type="dxa" w:w="1728"/>
          </w:tcPr>
          <w:p>
            <w:r>
              <w:rPr>
                <w:rFonts w:ascii="Calibri" w:hAnsi="Calibri"/>
                <w:sz w:val="22"/>
              </w:rPr>
              <w:t>FY 2026 Adj. EBITDA Margin</w:t>
            </w:r>
          </w:p>
        </w:tc>
        <w:tc>
          <w:tcPr>
            <w:tcW w:type="dxa" w:w="1728"/>
          </w:tcPr>
          <w:p>
            <w:r>
              <w:rPr>
                <w:rFonts w:ascii="Calibri" w:hAnsi="Calibri"/>
                <w:sz w:val="22"/>
              </w:rPr>
              <w:t>≥ 35% (confirmed floor)</w:t>
            </w:r>
          </w:p>
        </w:tc>
        <w:tc>
          <w:tcPr>
            <w:tcW w:type="dxa" w:w="1728"/>
          </w:tcPr>
          <w:p>
            <w:r>
              <w:rPr>
                <w:rFonts w:ascii="Calibri" w:hAnsi="Calibri"/>
                <w:sz w:val="22"/>
              </w:rPr>
              <w:t>—</w:t>
            </w:r>
          </w:p>
        </w:tc>
        <w:tc>
          <w:tcPr>
            <w:tcW w:type="dxa" w:w="1728"/>
          </w:tcPr>
          <w:p>
            <w:r>
              <w:rPr>
                <w:rFonts w:ascii="Calibri" w:hAnsi="Calibri"/>
                <w:sz w:val="22"/>
              </w:rPr>
              <w:t>$4.950B (~35.4% margin)</w:t>
            </w:r>
          </w:p>
        </w:tc>
        <w:tc>
          <w:tcPr>
            <w:tcW w:type="dxa" w:w="1728"/>
          </w:tcPr>
          <w:p>
            <w:r>
              <w:rPr>
                <w:rFonts w:ascii="Calibri" w:hAnsi="Calibri"/>
                <w:sz w:val="22"/>
              </w:rPr>
              <w:t>Confirmed at Q1 2026 call; management signaling active reinvestment in marketing, international, and AI</w:t>
            </w:r>
          </w:p>
        </w:tc>
      </w:tr>
    </w:tbl>
    <w:p>
      <w:r>
        <w:rPr>
          <w:rFonts w:ascii="Calibri" w:hAnsi="Calibri"/>
          <w:i/>
          <w:color w:val="525866"/>
          <w:sz w:val="22"/>
        </w:rPr>
        <w:t>Sources: Q1 2026 Earnings Release and Transcript (May 7,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p>
    <w:p>
      <w:r>
        <w:rPr>
          <w:rFonts w:ascii="Calibri" w:hAnsi="Calibri"/>
          <w:b/>
          <w:color w:val="525866"/>
          <w:sz w:val="22"/>
        </w:rPr>
        <w:t>broadly stable-to-slightly-higher</w:t>
      </w:r>
      <w:r>
        <w:rPr>
          <w:rFonts w:ascii="Calibri" w:hAnsi="Calibri"/>
          <w:color w:val="525866"/>
          <w:sz w:val="22"/>
        </w:rPr>
        <w:t xml:space="preserve"> since the Q1 print, tracking management's raised guidance — no meaningful divergence between consensus and guidance, which reduces the risk of a guidance-driven surprise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$3.574B</w:t>
            </w:r>
          </w:p>
        </w:tc>
        <w:tc>
          <w:tcPr>
            <w:tcW w:type="dxa" w:w="1080"/>
          </w:tcPr>
          <w:p>
            <w:r>
              <w:rPr>
                <w:rFonts w:ascii="Calibri" w:hAnsi="Calibri"/>
                <w:sz w:val="22"/>
              </w:rPr>
              <w:t>$3.579B</w:t>
            </w:r>
          </w:p>
        </w:tc>
        <w:tc>
          <w:tcPr>
            <w:tcW w:type="dxa" w:w="1080"/>
          </w:tcPr>
          <w:p>
            <w:r>
              <w:rPr>
                <w:rFonts w:ascii="Calibri" w:hAnsi="Calibri"/>
                <w:sz w:val="22"/>
              </w:rPr>
              <w:t>+0.1%</w:t>
            </w:r>
          </w:p>
        </w:tc>
        <w:tc>
          <w:tcPr>
            <w:tcW w:type="dxa" w:w="1080"/>
          </w:tcPr>
          <w:p>
            <w:r>
              <w:rPr>
                <w:rFonts w:ascii="Calibri" w:hAnsi="Calibri"/>
                <w:sz w:val="22"/>
              </w:rPr>
              <w:t>$3.54B–$3.60B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 ($3.57B)</w:t>
            </w:r>
          </w:p>
        </w:tc>
      </w:tr>
      <w:tr>
        <w:tc>
          <w:tcPr>
            <w:tcW w:type="dxa" w:w="1080"/>
          </w:tcPr>
          <w:p>
            <w:r>
              <w:rPr>
                <w:rFonts w:ascii="Calibri" w:hAnsi="Calibri"/>
                <w:sz w:val="22"/>
              </w:rPr>
              <w:t>GBV — Q2 2026</w:t>
            </w:r>
          </w:p>
        </w:tc>
        <w:tc>
          <w:tcPr>
            <w:tcW w:type="dxa" w:w="1080"/>
          </w:tcPr>
          <w:p>
            <w:r>
              <w:rPr>
                <w:rFonts w:ascii="Calibri" w:hAnsi="Calibri"/>
                <w:sz w:val="22"/>
              </w:rPr>
              <w:t>$26.46B</w:t>
            </w:r>
          </w:p>
        </w:tc>
        <w:tc>
          <w:tcPr>
            <w:tcW w:type="dxa" w:w="1080"/>
          </w:tcPr>
          <w:p>
            <w:r>
              <w:rPr>
                <w:rFonts w:ascii="Calibri" w:hAnsi="Calibri"/>
                <w:sz w:val="22"/>
              </w:rPr>
              <w:t>$26.48B</w:t>
            </w:r>
          </w:p>
        </w:tc>
        <w:tc>
          <w:tcPr>
            <w:tcW w:type="dxa" w:w="1080"/>
          </w:tcPr>
          <w:p>
            <w:r>
              <w:rPr>
                <w:rFonts w:ascii="Calibri" w:hAnsi="Calibri"/>
                <w:sz w:val="22"/>
              </w:rPr>
              <w:t>+0.1%</w:t>
            </w:r>
          </w:p>
        </w:tc>
        <w:tc>
          <w:tcPr>
            <w:tcW w:type="dxa" w:w="1080"/>
          </w:tcPr>
          <w:p>
            <w:r>
              <w:rPr>
                <w:rFonts w:ascii="Calibri" w:hAnsi="Calibri"/>
                <w:sz w:val="22"/>
              </w:rPr>
              <w:t>Low double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Nights Booked — Q2 2026</w:t>
            </w:r>
          </w:p>
        </w:tc>
        <w:tc>
          <w:tcPr>
            <w:tcW w:type="dxa" w:w="1080"/>
          </w:tcPr>
          <w:p>
            <w:r>
              <w:rPr>
                <w:rFonts w:ascii="Calibri" w:hAnsi="Calibri"/>
                <w:sz w:val="22"/>
              </w:rPr>
              <w:t>145.8M</w:t>
            </w:r>
          </w:p>
        </w:tc>
        <w:tc>
          <w:tcPr>
            <w:tcW w:type="dxa" w:w="1080"/>
          </w:tcPr>
          <w:p>
            <w:r>
              <w:rPr>
                <w:rFonts w:ascii="Calibri" w:hAnsi="Calibri"/>
                <w:sz w:val="22"/>
              </w:rPr>
              <w:t>145.7M</w:t>
            </w:r>
          </w:p>
        </w:tc>
        <w:tc>
          <w:tcPr>
            <w:tcW w:type="dxa" w:w="1080"/>
          </w:tcPr>
          <w:p>
            <w:r>
              <w:rPr>
                <w:rFonts w:ascii="Calibri" w:hAnsi="Calibri"/>
                <w:sz w:val="22"/>
              </w:rPr>
              <w:t>-0.1%</w:t>
            </w:r>
          </w:p>
        </w:tc>
        <w:tc>
          <w:tcPr>
            <w:tcW w:type="dxa" w:w="1080"/>
          </w:tcPr>
          <w:p>
            <w:r>
              <w:rPr>
                <w:rFonts w:ascii="Calibri" w:hAnsi="Calibri"/>
                <w:sz w:val="22"/>
              </w:rPr>
              <w:t>Slight decel vs. Q1; ~100 bps ME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w:t>
            </w:r>
          </w:p>
        </w:tc>
      </w:tr>
      <w:tr>
        <w:tc>
          <w:tcPr>
            <w:tcW w:type="dxa" w:w="1080"/>
          </w:tcPr>
          <w:p>
            <w:r>
              <w:rPr>
                <w:rFonts w:ascii="Calibri" w:hAnsi="Calibri"/>
                <w:sz w:val="22"/>
              </w:rPr>
              <w:t>Adj. EBITDA — Q2 2026</w:t>
            </w:r>
          </w:p>
        </w:tc>
        <w:tc>
          <w:tcPr>
            <w:tcW w:type="dxa" w:w="1080"/>
          </w:tcPr>
          <w:p>
            <w:r>
              <w:rPr>
                <w:rFonts w:ascii="Calibri" w:hAnsi="Calibri"/>
                <w:sz w:val="22"/>
              </w:rPr>
              <w:t>$1.226B</w:t>
            </w:r>
          </w:p>
        </w:tc>
        <w:tc>
          <w:tcPr>
            <w:tcW w:type="dxa" w:w="1080"/>
          </w:tcPr>
          <w:p>
            <w:r>
              <w:rPr>
                <w:rFonts w:ascii="Calibri" w:hAnsi="Calibri"/>
                <w:sz w:val="22"/>
              </w:rPr>
              <w:t>$1.229B</w:t>
            </w:r>
          </w:p>
        </w:tc>
        <w:tc>
          <w:tcPr>
            <w:tcW w:type="dxa" w:w="1080"/>
          </w:tcPr>
          <w:p>
            <w:r>
              <w:rPr>
                <w:rFonts w:ascii="Calibri" w:hAnsi="Calibri"/>
                <w:sz w:val="22"/>
              </w:rPr>
              <w:t>+0.2%</w:t>
            </w:r>
          </w:p>
        </w:tc>
        <w:tc>
          <w:tcPr>
            <w:tcW w:type="dxa" w:w="1080"/>
          </w:tcPr>
          <w:p>
            <w:r>
              <w:rPr>
                <w:rFonts w:ascii="Calibri" w:hAnsi="Calibri"/>
                <w:sz w:val="22"/>
              </w:rPr>
              <w:t>Up YoY (no $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$1.847</w:t>
            </w:r>
          </w:p>
        </w:tc>
        <w:tc>
          <w:tcPr>
            <w:tcW w:type="dxa" w:w="1080"/>
          </w:tcPr>
          <w:p>
            <w:r>
              <w:rPr>
                <w:rFonts w:ascii="Calibri" w:hAnsi="Calibri"/>
                <w:sz w:val="22"/>
              </w:rPr>
              <w:t>$1.760</w:t>
            </w:r>
          </w:p>
        </w:tc>
        <w:tc>
          <w:tcPr>
            <w:tcW w:type="dxa" w:w="1080"/>
          </w:tcPr>
          <w:p>
            <w:r>
              <w:rPr>
                <w:rFonts w:ascii="Calibri" w:hAnsi="Calibri"/>
                <w:b/>
                <w:color w:val="E5484D"/>
                <w:sz w:val="22"/>
              </w:rPr>
              <w:t>-4.7%</w:t>
            </w:r>
          </w:p>
        </w:tc>
        <w:tc>
          <w:tcPr>
            <w:tcW w:type="dxa" w:w="1080"/>
          </w:tcPr>
          <w:p>
            <w:r>
              <w:rPr>
                <w:rFonts w:ascii="Calibri" w:hAnsi="Calibri"/>
                <w:sz w:val="22"/>
              </w:rPr>
              <w:t>No specific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$13.967B</w:t>
            </w:r>
          </w:p>
        </w:tc>
        <w:tc>
          <w:tcPr>
            <w:tcW w:type="dxa" w:w="1080"/>
          </w:tcPr>
          <w:p>
            <w:r>
              <w:rPr>
                <w:rFonts w:ascii="Calibri" w:hAnsi="Calibri"/>
                <w:sz w:val="22"/>
              </w:rPr>
              <w:t>$13.964B</w:t>
            </w:r>
          </w:p>
        </w:tc>
        <w:tc>
          <w:tcPr>
            <w:tcW w:type="dxa" w:w="1080"/>
          </w:tcPr>
          <w:p>
            <w:r>
              <w:rPr>
                <w:rFonts w:ascii="Calibri" w:hAnsi="Calibri"/>
                <w:sz w:val="22"/>
              </w:rPr>
              <w:t>~Flat</w:t>
            </w:r>
          </w:p>
        </w:tc>
        <w:tc>
          <w:tcPr>
            <w:tcW w:type="dxa" w:w="1080"/>
          </w:tcPr>
          <w:p>
            <w:r>
              <w:rPr>
                <w:rFonts w:ascii="Calibri" w:hAnsi="Calibri"/>
                <w:sz w:val="22"/>
              </w:rPr>
              <w:t>Low-to-mid teens YoY growth</w:t>
            </w:r>
          </w:p>
        </w:tc>
        <w:tc>
          <w:tcPr>
            <w:tcW w:type="dxa" w:w="1080"/>
          </w:tcPr>
          <w:p>
            <w:r>
              <w:rPr>
                <w:rFonts w:ascii="Calibri" w:hAnsi="Calibri"/>
                <w:sz w:val="22"/>
              </w:rPr>
              <w:t>Unchanged (raised at Q1 call)</w:t>
            </w:r>
          </w:p>
        </w:tc>
        <w:tc>
          <w:tcPr>
            <w:tcW w:type="dxa" w:w="1080"/>
          </w:tcPr>
          <w:p>
            <w:r>
              <w:rPr>
                <w:rFonts w:ascii="Calibri" w:hAnsi="Calibri"/>
                <w:sz w:val="22"/>
              </w:rPr>
              <w:t>—</w:t>
            </w:r>
          </w:p>
        </w:tc>
        <w:tc>
          <w:tcPr>
            <w:tcW w:type="dxa" w:w="1080"/>
          </w:tcPr>
          <w:p>
            <w:r>
              <w:rPr>
                <w:rFonts w:ascii="Calibri" w:hAnsi="Calibri"/>
                <w:sz w:val="22"/>
              </w:rPr>
              <w:t>~In-line with guidance</w:t>
            </w:r>
          </w:p>
        </w:tc>
      </w:tr>
      <w:tr>
        <w:tc>
          <w:tcPr>
            <w:tcW w:type="dxa" w:w="1080"/>
          </w:tcPr>
          <w:p>
            <w:r>
              <w:rPr>
                <w:rFonts w:ascii="Calibri" w:hAnsi="Calibri"/>
                <w:sz w:val="22"/>
              </w:rPr>
              <w:t>Adj. EBITDA — FY 2026</w:t>
            </w:r>
          </w:p>
        </w:tc>
        <w:tc>
          <w:tcPr>
            <w:tcW w:type="dxa" w:w="1080"/>
          </w:tcPr>
          <w:p>
            <w:r>
              <w:rPr>
                <w:rFonts w:ascii="Calibri" w:hAnsi="Calibri"/>
                <w:sz w:val="22"/>
              </w:rPr>
              <w:t>$4.951B</w:t>
            </w:r>
          </w:p>
        </w:tc>
        <w:tc>
          <w:tcPr>
            <w:tcW w:type="dxa" w:w="1080"/>
          </w:tcPr>
          <w:p>
            <w:r>
              <w:rPr>
                <w:rFonts w:ascii="Calibri" w:hAnsi="Calibri"/>
                <w:sz w:val="22"/>
              </w:rPr>
              <w:t>$4.950B</w:t>
            </w:r>
          </w:p>
        </w:tc>
        <w:tc>
          <w:tcPr>
            <w:tcW w:type="dxa" w:w="1080"/>
          </w:tcPr>
          <w:p>
            <w:r>
              <w:rPr>
                <w:rFonts w:ascii="Calibri" w:hAnsi="Calibri"/>
                <w:sz w:val="22"/>
              </w:rPr>
              <w:t>~Flat</w:t>
            </w:r>
          </w:p>
        </w:tc>
        <w:tc>
          <w:tcPr>
            <w:tcW w:type="dxa" w:w="1080"/>
          </w:tcPr>
          <w:p>
            <w:r>
              <w:rPr>
                <w:rFonts w:ascii="Calibri" w:hAnsi="Calibri"/>
                <w:sz w:val="22"/>
              </w:rPr>
              <w:t>≥35%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~35.4% implied; above floor</w:t>
            </w:r>
          </w:p>
        </w:tc>
      </w:tr>
    </w:tbl>
    <w:p>
      <w:r>
        <w:rPr>
          <w:rFonts w:ascii="Calibri" w:hAnsi="Calibri"/>
          <w:i/>
          <w:color w:val="525866"/>
          <w:sz w:val="22"/>
        </w:rPr>
        <w:t>The notable exception is Adj. EPS, where the post-Q1 baseline was ~$1.85 and has since drifted down to ~$1.76 (-4.7%) — reflecting the market recalibrating after the Q1 EPS miss (driven by a one-time deferred tax asset adjustment related to the U.S. Corporate Alternative Minimum Tax). Revenue and EBITDA estimates are essentially unchanged, confirming that the EPS revision is a tax/below-the-line recalibration, not a fundamental demand concern.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ABNB has </w:t>
      </w:r>
    </w:p>
    <w:p>
      <w:r>
        <w:rPr>
          <w:rFonts w:ascii="Calibri" w:hAnsi="Calibri"/>
          <w:b/>
          <w:color w:val="525866"/>
          <w:sz w:val="22"/>
        </w:rPr>
        <w:t>outperformed both XLY and the S&amp;P 500</w:t>
      </w:r>
      <w:r>
        <w:rPr>
          <w:rFonts w:ascii="Calibri" w:hAnsi="Calibri"/>
          <w:color w:val="525866"/>
          <w:sz w:val="22"/>
        </w:rPr>
        <w:t xml:space="preserve"> since the Q1 print, with the move driven primarily by </w:t>
      </w:r>
    </w:p>
    <w:p>
      <w:r>
        <w:rPr>
          <w:rFonts w:ascii="Calibri" w:hAnsi="Calibri"/>
          <w:b/>
          <w:color w:val="525866"/>
          <w:sz w:val="22"/>
        </w:rPr>
        <w:t>estimate revisions and raised guidance</w:t>
      </w:r>
      <w:r>
        <w:rPr>
          <w:rFonts w:ascii="Calibri" w:hAnsi="Calibri"/>
          <w:color w:val="525866"/>
          <w:sz w:val="22"/>
        </w:rPr>
        <w:t xml:space="preserve"> rather than multiple expansion — a more durable setup than sentiment-driven rallies.</w:t>
      </w:r>
    </w:p>
    <w:p>
      <w:r>
        <w:rPr>
          <w:rFonts w:ascii="Calibri" w:hAnsi="Calibri"/>
          <w:color w:val="525866"/>
          <w:sz w:val="22"/>
        </w:rPr>
        <w:t>Since the Q1 2026 earnings date (May 7, 2026), ABNB closed at $140.46 and has risen to $149.92 as of August 4, 2026 (+6.7%), outperforming the XLY Consumer Discretionary ETF (from $119.88 to $118.29, -1.3%) and the S&amp;P 500 (from $731.58 to $771.33, +5.4%). The stock's 6-month EV/EBITDA multiple has expanded modestly from ~14.62x to ~14.92x (+2.1%), suggesting the rally is primarily earnings-driven rather than multiple-driven — consistent with the raised full-year guidance. A notable dip occurred in mid-June (stock touched ~$129) before recovering sharply, likely reflecting broader market volatility. The stock reached a recent high of ~$153 in late July before pulling back slightly. Sector ETF used: XLY (Consumer Discretionary Select Sector SPDR Fund), which is the most appropriate benchmark for ABNB given its consumer-facing, discretionary travel business model. Source: Stock Price Data.</w:t>
      </w:r>
    </w:p>
    <w:p>
      <w:r>
        <w:rPr>
          <w:rFonts w:ascii="Calibri" w:hAnsi="Calibri"/>
          <w:b/>
          <w:color w:val="525866"/>
          <w:sz w:val="22"/>
        </w:rPr>
        <w:t>Indexed Performance Table (Base = 100 at May 7, 2026 Close)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ABNB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94.9</w:t>
            </w:r>
          </w:p>
        </w:tc>
        <w:tc>
          <w:tcPr>
            <w:tcW w:type="dxa" w:w="2160"/>
          </w:tcPr>
          <w:p>
            <w:r>
              <w:rPr>
                <w:rFonts w:ascii="Calibri" w:hAnsi="Calibri"/>
                <w:sz w:val="22"/>
              </w:rPr>
              <w:t>100.8</w:t>
            </w:r>
          </w:p>
        </w:tc>
        <w:tc>
          <w:tcPr>
            <w:tcW w:type="dxa" w:w="2160"/>
          </w:tcPr>
          <w:p>
            <w:r>
              <w:rPr>
                <w:rFonts w:ascii="Calibri" w:hAnsi="Calibri"/>
                <w:sz w:val="22"/>
              </w:rPr>
              <w:t>103.4</w:t>
            </w:r>
          </w:p>
        </w:tc>
      </w:tr>
      <w:tr>
        <w:tc>
          <w:tcPr>
            <w:tcW w:type="dxa" w:w="2160"/>
          </w:tcPr>
          <w:p>
            <w:r>
              <w:rPr>
                <w:rFonts w:ascii="Calibri" w:hAnsi="Calibri"/>
                <w:sz w:val="22"/>
              </w:rPr>
              <w:t>Jun 10, 2026 (Trough)</w:t>
            </w:r>
          </w:p>
        </w:tc>
        <w:tc>
          <w:tcPr>
            <w:tcW w:type="dxa" w:w="2160"/>
          </w:tcPr>
          <w:p>
            <w:r>
              <w:rPr>
                <w:rFonts w:ascii="Calibri" w:hAnsi="Calibri"/>
                <w:sz w:val="22"/>
              </w:rPr>
              <w:t>91.9</w:t>
            </w:r>
          </w:p>
        </w:tc>
        <w:tc>
          <w:tcPr>
            <w:tcW w:type="dxa" w:w="2160"/>
          </w:tcPr>
          <w:p>
            <w:r>
              <w:rPr>
                <w:rFonts w:ascii="Calibri" w:hAnsi="Calibri"/>
                <w:sz w:val="22"/>
              </w:rPr>
              <w:t>94.7</w:t>
            </w:r>
          </w:p>
        </w:tc>
        <w:tc>
          <w:tcPr>
            <w:tcW w:type="dxa" w:w="2160"/>
          </w:tcPr>
          <w:p>
            <w:r>
              <w:rPr>
                <w:rFonts w:ascii="Calibri" w:hAnsi="Calibri"/>
                <w:sz w:val="22"/>
              </w:rPr>
              <w:t>99.2</w:t>
            </w:r>
          </w:p>
        </w:tc>
      </w:tr>
      <w:tr>
        <w:tc>
          <w:tcPr>
            <w:tcW w:type="dxa" w:w="2160"/>
          </w:tcPr>
          <w:p>
            <w:r>
              <w:rPr>
                <w:rFonts w:ascii="Calibri" w:hAnsi="Calibri"/>
                <w:sz w:val="22"/>
              </w:rPr>
              <w:t>Jun 15, 2026 (Recovery)</w:t>
            </w:r>
          </w:p>
        </w:tc>
        <w:tc>
          <w:tcPr>
            <w:tcW w:type="dxa" w:w="2160"/>
          </w:tcPr>
          <w:p>
            <w:r>
              <w:rPr>
                <w:rFonts w:ascii="Calibri" w:hAnsi="Calibri"/>
                <w:sz w:val="22"/>
              </w:rPr>
              <w:t>98.9</w:t>
            </w:r>
          </w:p>
        </w:tc>
        <w:tc>
          <w:tcPr>
            <w:tcW w:type="dxa" w:w="2160"/>
          </w:tcPr>
          <w:p>
            <w:r>
              <w:rPr>
                <w:rFonts w:ascii="Calibri" w:hAnsi="Calibri"/>
                <w:sz w:val="22"/>
              </w:rPr>
              <w:t>98.9</w:t>
            </w:r>
          </w:p>
        </w:tc>
        <w:tc>
          <w:tcPr>
            <w:tcW w:type="dxa" w:w="2160"/>
          </w:tcPr>
          <w:p>
            <w:r>
              <w:rPr>
                <w:rFonts w:ascii="Calibri" w:hAnsi="Calibri"/>
                <w:sz w:val="22"/>
              </w:rPr>
              <w:t>103.2</w:t>
            </w:r>
          </w:p>
        </w:tc>
      </w:tr>
      <w:tr>
        <w:tc>
          <w:tcPr>
            <w:tcW w:type="dxa" w:w="2160"/>
          </w:tcPr>
          <w:p>
            <w:r>
              <w:rPr>
                <w:rFonts w:ascii="Calibri" w:hAnsi="Calibri"/>
                <w:sz w:val="22"/>
              </w:rPr>
              <w:t>Jun 30, 2026</w:t>
            </w:r>
          </w:p>
        </w:tc>
        <w:tc>
          <w:tcPr>
            <w:tcW w:type="dxa" w:w="2160"/>
          </w:tcPr>
          <w:p>
            <w:r>
              <w:rPr>
                <w:rFonts w:ascii="Calibri" w:hAnsi="Calibri"/>
                <w:sz w:val="22"/>
              </w:rPr>
              <w:t>101.9</w:t>
            </w:r>
          </w:p>
        </w:tc>
        <w:tc>
          <w:tcPr>
            <w:tcW w:type="dxa" w:w="2160"/>
          </w:tcPr>
          <w:p>
            <w:r>
              <w:rPr>
                <w:rFonts w:ascii="Calibri" w:hAnsi="Calibri"/>
                <w:sz w:val="22"/>
              </w:rPr>
              <w:t>97.8</w:t>
            </w:r>
          </w:p>
        </w:tc>
        <w:tc>
          <w:tcPr>
            <w:tcW w:type="dxa" w:w="2160"/>
          </w:tcPr>
          <w:p>
            <w:r>
              <w:rPr>
                <w:rFonts w:ascii="Calibri" w:hAnsi="Calibri"/>
                <w:sz w:val="22"/>
              </w:rPr>
              <w:t>102.1</w:t>
            </w:r>
          </w:p>
        </w:tc>
      </w:tr>
      <w:tr>
        <w:tc>
          <w:tcPr>
            <w:tcW w:type="dxa" w:w="2160"/>
          </w:tcPr>
          <w:p>
            <w:r>
              <w:rPr>
                <w:rFonts w:ascii="Calibri" w:hAnsi="Calibri"/>
                <w:sz w:val="22"/>
              </w:rPr>
              <w:t>Jul 28, 2026 (Recent High)</w:t>
            </w:r>
          </w:p>
        </w:tc>
        <w:tc>
          <w:tcPr>
            <w:tcW w:type="dxa" w:w="2160"/>
          </w:tcPr>
          <w:p>
            <w:r>
              <w:rPr>
                <w:rFonts w:ascii="Calibri" w:hAnsi="Calibri"/>
                <w:sz w:val="22"/>
              </w:rPr>
              <w:t>109.0</w:t>
            </w:r>
          </w:p>
        </w:tc>
        <w:tc>
          <w:tcPr>
            <w:tcW w:type="dxa" w:w="2160"/>
          </w:tcPr>
          <w:p>
            <w:r>
              <w:rPr>
                <w:rFonts w:ascii="Calibri" w:hAnsi="Calibri"/>
                <w:sz w:val="22"/>
              </w:rPr>
              <w:t>93.8</w:t>
            </w:r>
          </w:p>
        </w:tc>
        <w:tc>
          <w:tcPr>
            <w:tcW w:type="dxa" w:w="2160"/>
          </w:tcPr>
          <w:p>
            <w:r>
              <w:rPr>
                <w:rFonts w:ascii="Calibri" w:hAnsi="Calibri"/>
                <w:sz w:val="22"/>
              </w:rPr>
              <w:t>101.3</w:t>
            </w:r>
          </w:p>
        </w:tc>
      </w:tr>
      <w:tr>
        <w:tc>
          <w:tcPr>
            <w:tcW w:type="dxa" w:w="2160"/>
          </w:tcPr>
          <w:p>
            <w:r>
              <w:rPr>
                <w:rFonts w:ascii="Calibri" w:hAnsi="Calibri"/>
                <w:sz w:val="22"/>
              </w:rPr>
              <w:t>Aug 4, 2026 (Latest)</w:t>
            </w:r>
          </w:p>
        </w:tc>
        <w:tc>
          <w:tcPr>
            <w:tcW w:type="dxa" w:w="2160"/>
          </w:tcPr>
          <w:p>
            <w:r>
              <w:rPr>
                <w:rFonts w:ascii="Calibri" w:hAnsi="Calibri"/>
                <w:sz w:val="22"/>
              </w:rPr>
              <w:t>106.7</w:t>
            </w:r>
          </w:p>
        </w:tc>
        <w:tc>
          <w:tcPr>
            <w:tcW w:type="dxa" w:w="2160"/>
          </w:tcPr>
          <w:p>
            <w:r>
              <w:rPr>
                <w:rFonts w:ascii="Calibri" w:hAnsi="Calibri"/>
                <w:sz w:val="22"/>
              </w:rPr>
              <w:t>98.7</w:t>
            </w:r>
          </w:p>
        </w:tc>
        <w:tc>
          <w:tcPr>
            <w:tcW w:type="dxa" w:w="2160"/>
          </w:tcPr>
          <w:p>
            <w:r>
              <w:rPr>
                <w:rFonts w:ascii="Calibri" w:hAnsi="Calibri"/>
                <w:sz w:val="22"/>
              </w:rPr>
              <w:t>105.4</w:t>
            </w:r>
          </w:p>
        </w:tc>
      </w:tr>
    </w:tbl>
    <w:p>
      <w:r>
        <w:rPr>
          <w:rFonts w:ascii="Calibri" w:hAnsi="Calibri"/>
          <w:i/>
          <w:color w:val="525866"/>
          <w:sz w:val="22"/>
        </w:rPr>
        <w:t xml:space="preserve">Note: </w:t>
      </w:r>
      <w:r>
        <w:rPr>
          <w:rFonts w:ascii="Calibri" w:hAnsi="Calibri"/>
          <w:i/>
          <w:color w:val="525866"/>
          <w:sz w:val="22"/>
        </w:rPr>
        <w:t>Indexed to 100 at May 7, 2026 close (ABNB: $140.46, XLY: $119.88, SPY: $731.58). Aug 6, 2026 data not yet available at time of preparation. Source: Stock Price Data.</w:t>
      </w:r>
    </w:p>
    <w:p>
      <w:r>
        <w:br w:type="page"/>
      </w:r>
    </w:p>
    <w:p>
      <w:pPr>
        <w:pStyle w:val="Heading2"/>
      </w:pPr>
      <w:r>
        <w:rPr>
          <w:rFonts w:ascii="Calibri" w:hAnsi="Calibri"/>
          <w:b/>
          <w:color w:val="3B4259"/>
          <w:sz w:val="28"/>
        </w:rPr>
        <w:t>6. Peer Commentaries &amp; Read-Throughs (Last 60 Days, Q2 2026 Period)</w:t>
      </w:r>
    </w:p>
    <w:p>
      <w:r>
        <w:rPr>
          <w:rFonts w:ascii="Calibri" w:hAnsi="Calibri"/>
          <w:b/>
          <w:color w:val="525866"/>
          <w:sz w:val="22"/>
        </w:rPr>
        <w:t xml:space="preserve">Key Takeaway: </w:t>
      </w:r>
      <w:r>
        <w:rPr>
          <w:rFonts w:ascii="Calibri" w:hAnsi="Calibri"/>
          <w:color w:val="525866"/>
          <w:sz w:val="22"/>
        </w:rPr>
        <w:t xml:space="preserve">Peer commentary from Q2 2026 earnings reports is </w:t>
      </w:r>
    </w:p>
    <w:p>
      <w:r>
        <w:rPr>
          <w:rFonts w:ascii="Calibri" w:hAnsi="Calibri"/>
          <w:b/>
          <w:color w:val="525866"/>
          <w:sz w:val="22"/>
        </w:rPr>
        <w:t>broadly constructive for ABNB</w:t>
      </w:r>
      <w:r>
        <w:rPr>
          <w:rFonts w:ascii="Calibri" w:hAnsi="Calibri"/>
          <w:color w:val="525866"/>
          <w:sz w:val="22"/>
        </w:rPr>
        <w:t xml:space="preserve"> — leisure demand was resilient across all major geographies, the World Cup provided a meaningful tailwind, and domestic/short-haul travel held up well despite Middle East headwinds. The one nuance: Booking.com's alternative accommodation room nights grew slightly slower (+4%) than overall room nights (+5%), worth monitoring.</w:t>
      </w:r>
    </w:p>
    <w:p>
      <w:r>
        <w:rPr>
          <w:rFonts w:ascii="Calibri" w:hAnsi="Calibri"/>
          <w:b/>
          <w:i/>
          <w:color w:val="525866"/>
          <w:sz w:val="22"/>
        </w:rPr>
        <w:t xml:space="preserve">Scope note: </w:t>
      </w:r>
      <w:r>
        <w:rPr>
          <w:rFonts w:ascii="Calibri" w:hAnsi="Calibri"/>
          <w:i/>
          <w:color w:val="525866"/>
          <w:sz w:val="22"/>
        </w:rPr>
        <w:t>Only commentary from Q2 2026 earnings reports (reporting on the April–June 2026 quarter) or post-Q1 earnings commentary about Q2 2026 demand is included below. Prior-quarter-only commentary has been excluded. Company-specific caveats are flagged.</w:t>
      </w:r>
    </w:p>
    <w:p>
      <w:pPr>
        <w:pStyle w:val="Heading3"/>
      </w:pPr>
      <w:r>
        <w:rPr>
          <w:rFonts w:ascii="Calibri" w:hAnsi="Calibri"/>
          <w:b/>
          <w:color w:val="3B4259"/>
          <w:sz w:val="24"/>
        </w:rPr>
        <w:t>Booking Holdings (BKNG) — Q2 2026 Earnings (Reported August 4, 2026)</w:t>
      </w:r>
    </w:p>
    <w:p>
      <w:r>
        <w:rPr>
          <w:rFonts w:ascii="Calibri" w:hAnsi="Calibri"/>
          <w:b/>
          <w:color w:val="525866"/>
          <w:sz w:val="22"/>
        </w:rPr>
        <w:t xml:space="preserve">Relevance: </w:t>
      </w:r>
      <w:r>
        <w:rPr>
          <w:rFonts w:ascii="Calibri" w:hAnsi="Calibri"/>
          <w:color w:val="525866"/>
          <w:sz w:val="22"/>
        </w:rPr>
        <w:t>Highest-relevance read-through; BKNG is the closest global OTA peer and its alternative accommodation segment directly competes with ABNB.</w:t>
      </w:r>
    </w:p>
    <w:p>
      <w:pPr>
        <w:pStyle w:val="ListBullet"/>
        <w:ind w:left="360" w:hanging="360"/>
      </w:pPr>
      <w:r>
        <w:rPr>
          <w:rFonts w:ascii="Calibri" w:hAnsi="Calibri"/>
          <w:b/>
          <w:color w:val="525866"/>
          <w:sz w:val="22"/>
        </w:rPr>
        <w:t xml:space="preserve">Demand resilience confirmed: </w:t>
      </w:r>
      <w:r>
        <w:rPr>
          <w:rFonts w:ascii="Calibri" w:hAnsi="Calibri"/>
          <w:color w:val="525866"/>
          <w:sz w:val="22"/>
        </w:rPr>
        <w:t xml:space="preserve">CEO Glenn Fogel stated that "the underlying desire to explore, connect, and experience the world is remarkably resilient" and that this "was clearly evident during the second quarter." Global room nights grew 5%, exceeding the high end of guidance by ~1 percentage point. </w:t>
      </w:r>
    </w:p>
    <w:p>
      <w:pPr>
        <w:pStyle w:val="ListBullet"/>
        <w:ind w:left="360" w:hanging="360"/>
      </w:pPr>
      <w:r>
        <w:rPr>
          <w:rFonts w:ascii="Calibri" w:hAnsi="Calibri"/>
          <w:b/>
          <w:color w:val="525866"/>
          <w:sz w:val="22"/>
        </w:rPr>
        <w:t xml:space="preserve">Domestic demand strong, long-haul pressured: </w:t>
      </w:r>
      <w:r>
        <w:rPr>
          <w:rFonts w:ascii="Calibri" w:hAnsi="Calibri"/>
          <w:color w:val="525866"/>
          <w:sz w:val="22"/>
        </w:rPr>
        <w:t xml:space="preserve">Domestic room nights grew high single digits; international room nights increased only slightly, "reflecting continued pressure on long haul travel due primarily to the indirect impacts of the situation in the Middle East." U.S. room nights grew high single digits. </w:t>
      </w:r>
    </w:p>
    <w:p>
      <w:pPr>
        <w:pStyle w:val="ListBullet"/>
        <w:ind w:left="360" w:hanging="360"/>
      </w:pPr>
      <w:r>
        <w:rPr>
          <w:rFonts w:ascii="Calibri" w:hAnsi="Calibri"/>
          <w:b/>
          <w:color w:val="525866"/>
          <w:sz w:val="22"/>
        </w:rPr>
        <w:t xml:space="preserve">Alternative accommodation slightly lagged: </w:t>
      </w:r>
      <w:r>
        <w:rPr>
          <w:rFonts w:ascii="Calibri" w:hAnsi="Calibri"/>
          <w:color w:val="525866"/>
          <w:sz w:val="22"/>
        </w:rPr>
        <w:t xml:space="preserve">Alternative accommodation room nights on Booking.com grew 4% — slightly below the 5% overall room night growth — "due to brand and regional mix, as we saw higher growth from Agoda and Priceline, and also in the US, where our alternative accommodation offering is relatively smaller." Alternative accommodations represented ~37% of Booking.com room nights, similar to Q2 2025. </w:t>
      </w:r>
    </w:p>
    <w:p>
      <w:pPr>
        <w:pStyle w:val="ListBullet"/>
        <w:ind w:left="360" w:hanging="360"/>
      </w:pPr>
      <w:r>
        <w:rPr>
          <w:rFonts w:ascii="Calibri" w:hAnsi="Calibri"/>
          <w:b/>
          <w:color w:val="525866"/>
          <w:sz w:val="22"/>
        </w:rPr>
        <w:t xml:space="preserve">Booking window contracted then normalized: </w:t>
      </w:r>
      <w:r>
        <w:rPr>
          <w:rFonts w:ascii="Calibri" w:hAnsi="Calibri"/>
          <w:color w:val="525866"/>
          <w:sz w:val="22"/>
        </w:rPr>
        <w:t xml:space="preserve">"We saw a modest contraction in booking window and length of stay during the quarter, although both began to normalize in June." In Europe (largest region), both metrics were approximately flat. </w:t>
      </w:r>
    </w:p>
    <w:p>
      <w:pPr>
        <w:pStyle w:val="ListBullet"/>
        <w:ind w:left="360" w:hanging="360"/>
      </w:pPr>
      <w:r>
        <w:rPr>
          <w:rFonts w:ascii="Calibri" w:hAnsi="Calibri"/>
          <w:b/>
          <w:color w:val="525866"/>
          <w:sz w:val="22"/>
        </w:rPr>
        <w:t xml:space="preserve">ADR held up: </w:t>
      </w:r>
      <w:r>
        <w:rPr>
          <w:rFonts w:ascii="Calibri" w:hAnsi="Calibri"/>
          <w:color w:val="525866"/>
          <w:sz w:val="22"/>
        </w:rPr>
        <w:t xml:space="preserve">Constant currency ADR increased ~2% YoY, "demonstrating continued pricing strength, primarily driven by Europe and the US." </w:t>
      </w:r>
    </w:p>
    <w:p>
      <w:pPr>
        <w:pStyle w:val="ListBullet"/>
        <w:ind w:left="360" w:hanging="360"/>
      </w:pPr>
      <w:r>
        <w:rPr>
          <w:rFonts w:ascii="Calibri" w:hAnsi="Calibri"/>
          <w:b/>
          <w:color w:val="525866"/>
          <w:sz w:val="22"/>
        </w:rPr>
        <w:t xml:space="preserve">Q3 2026 demand resilient so far: </w:t>
      </w:r>
      <w:r>
        <w:rPr>
          <w:rFonts w:ascii="Calibri" w:hAnsi="Calibri"/>
          <w:color w:val="525866"/>
          <w:sz w:val="22"/>
        </w:rPr>
        <w:t xml:space="preserve">CFO Eva Steenbergen noted "Global travel demand has remained resilient so far in the third quarter, supported by healthy domestic travel trends" and highlighted "the healthy pickup of the summer bookings" in July. </w:t>
      </w:r>
    </w:p>
    <w:p>
      <w:pPr>
        <w:pStyle w:val="ListBullet"/>
        <w:ind w:left="360" w:hanging="360"/>
      </w:pPr>
      <w:r>
        <w:rPr>
          <w:rFonts w:ascii="Calibri" w:hAnsi="Calibri"/>
          <w:b/>
          <w:color w:val="525866"/>
          <w:sz w:val="22"/>
        </w:rPr>
        <w:t xml:space="preserve">Middle East normalizing: </w:t>
      </w:r>
      <w:r>
        <w:rPr>
          <w:rFonts w:ascii="Calibri" w:hAnsi="Calibri"/>
          <w:color w:val="525866"/>
          <w:sz w:val="22"/>
        </w:rPr>
        <w:t xml:space="preserve">"In June, actually the situation started to normalize more, and that continued in the month of July." Q3 guidance assumes indirect impacts persist but expects "a little bit less of an impact than we have seen in the second quarter." </w:t>
      </w:r>
    </w:p>
    <w:p>
      <w:pPr>
        <w:pStyle w:val="ListBullet"/>
        <w:ind w:left="360" w:hanging="360"/>
      </w:pPr>
      <w:r>
        <w:rPr>
          <w:rFonts w:ascii="Calibri" w:hAnsi="Calibri"/>
          <w:b/>
          <w:color w:val="525866"/>
          <w:sz w:val="22"/>
        </w:rPr>
        <w:t xml:space="preserve">ABNB read-through: </w:t>
      </w:r>
      <w:r>
        <w:rPr>
          <w:rFonts w:ascii="Calibri" w:hAnsi="Calibri"/>
          <w:color w:val="525866"/>
          <w:sz w:val="22"/>
        </w:rPr>
        <w:t>Positive on domestic/leisure demand and ADR; the slight underperformance of alternative accommodation vs. overall room nights is worth watching but appears mix-driven rather than structural. The normalization of the Middle East impact in June/July is a positive signal for ABNB's Q2 exit rate and Q3 setup.</w:t>
      </w:r>
    </w:p>
    <w:p>
      <w:pPr>
        <w:pStyle w:val="Heading3"/>
      </w:pPr>
      <w:r>
        <w:rPr>
          <w:rFonts w:ascii="Calibri" w:hAnsi="Calibri"/>
          <w:b/>
          <w:color w:val="3B4259"/>
          <w:sz w:val="24"/>
        </w:rPr>
        <w:t>Expedia Group (EXPE) — Q2 2026 Earnings (Reported August 5, 2026)</w:t>
      </w:r>
    </w:p>
    <w:p>
      <w:r>
        <w:rPr>
          <w:rFonts w:ascii="Calibri" w:hAnsi="Calibri"/>
          <w:b/>
          <w:color w:val="525866"/>
          <w:sz w:val="22"/>
        </w:rPr>
        <w:t xml:space="preserve">Relevance: </w:t>
      </w:r>
      <w:r>
        <w:rPr>
          <w:rFonts w:ascii="Calibri" w:hAnsi="Calibri"/>
          <w:color w:val="525866"/>
          <w:sz w:val="22"/>
        </w:rPr>
        <w:t>High relevance; EXPE operates Vrbo (direct ABNB competitor) and its consumer OTA brands serve overlapping leisure travel demand.</w:t>
      </w:r>
    </w:p>
    <w:p>
      <w:pPr>
        <w:pStyle w:val="ListBullet"/>
        <w:ind w:left="360" w:hanging="360"/>
      </w:pPr>
      <w:r>
        <w:rPr>
          <w:rFonts w:ascii="Calibri" w:hAnsi="Calibri"/>
          <w:b/>
          <w:color w:val="525866"/>
          <w:sz w:val="22"/>
        </w:rPr>
        <w:t xml:space="preserve">Strong beat-and-raise: </w:t>
      </w:r>
      <w:r>
        <w:rPr>
          <w:rFonts w:ascii="Calibri" w:hAnsi="Calibri"/>
          <w:color w:val="525866"/>
          <w:sz w:val="22"/>
        </w:rPr>
        <w:t xml:space="preserve">EXPE reported Q2 gross bookings of $33.93B (beating estimates), revenue of $4.32B, and adjusted EPS of $5.76, all above expectations. The company raised full-year guidance, now expecting bookings growth of 8–9% (prior: 6–8%) and EBITDA margin expansion of 150–175 bps (prior: 100–125 bps). </w:t>
      </w:r>
    </w:p>
    <w:p>
      <w:pPr>
        <w:pStyle w:val="ListBullet"/>
        <w:ind w:left="360" w:hanging="360"/>
      </w:pPr>
      <w:r>
        <w:rPr>
          <w:rFonts w:ascii="Calibri" w:hAnsi="Calibri"/>
          <w:b/>
          <w:color w:val="525866"/>
          <w:sz w:val="22"/>
        </w:rPr>
        <w:t xml:space="preserve">Consumer demand healthy, particularly in the U.S.: </w:t>
      </w:r>
      <w:r>
        <w:rPr>
          <w:rFonts w:ascii="Calibri" w:hAnsi="Calibri"/>
          <w:color w:val="525866"/>
          <w:sz w:val="22"/>
        </w:rPr>
        <w:t xml:space="preserve">Consumer spending was described as healthy, particularly in the U.S., with consumers continuing to prioritize travel with longer lengths of stay and longer booking windows even as prices rose. </w:t>
      </w:r>
    </w:p>
    <w:p>
      <w:pPr>
        <w:pStyle w:val="ListBullet"/>
        <w:ind w:left="360" w:hanging="360"/>
      </w:pPr>
      <w:r>
        <w:rPr>
          <w:rFonts w:ascii="Calibri" w:hAnsi="Calibri"/>
          <w:b/>
          <w:color w:val="525866"/>
          <w:sz w:val="22"/>
        </w:rPr>
        <w:t xml:space="preserve">World Cup provided incremental demand: </w:t>
      </w:r>
      <w:r>
        <w:rPr>
          <w:rFonts w:ascii="Calibri" w:hAnsi="Calibri"/>
          <w:color w:val="525866"/>
          <w:sz w:val="22"/>
        </w:rPr>
        <w:t xml:space="preserve">The World Cup generated "modest incremental demand late in the quarter," with many bookings occurring after the tournament began — a pattern the company anticipated and was positioned to capture. </w:t>
      </w:r>
    </w:p>
    <w:p>
      <w:pPr>
        <w:pStyle w:val="ListBullet"/>
        <w:ind w:left="360" w:hanging="360"/>
      </w:pPr>
      <w:r>
        <w:rPr>
          <w:rFonts w:ascii="Calibri" w:hAnsi="Calibri"/>
          <w:b/>
          <w:color w:val="525866"/>
          <w:sz w:val="22"/>
        </w:rPr>
        <w:t xml:space="preserve">Vrbo AI investment: </w:t>
      </w:r>
      <w:r>
        <w:rPr>
          <w:rFonts w:ascii="Calibri" w:hAnsi="Calibri"/>
          <w:color w:val="525866"/>
          <w:sz w:val="22"/>
        </w:rPr>
        <w:t xml:space="preserve">EXPE launched natural language search on the Vrbo homepage and an agentic voice solution for partner inquiries, with early results described as "promising with faster resolution and lower contact propensity." </w:t>
      </w:r>
    </w:p>
    <w:p>
      <w:pPr>
        <w:pStyle w:val="ListBullet"/>
        <w:ind w:left="360" w:hanging="360"/>
      </w:pPr>
      <w:r>
        <w:rPr>
          <w:rFonts w:ascii="Calibri" w:hAnsi="Calibri"/>
          <w:b/>
          <w:color w:val="525866"/>
          <w:sz w:val="22"/>
        </w:rPr>
        <w:t xml:space="preserve">Q3 2026 guidance: </w:t>
      </w:r>
      <w:r>
        <w:rPr>
          <w:rFonts w:ascii="Calibri" w:hAnsi="Calibri"/>
          <w:color w:val="525866"/>
          <w:sz w:val="22"/>
        </w:rPr>
        <w:t xml:space="preserve">Revenue guided to $4.65B–$4.75B, exceeding Street estimates of $4.66B. </w:t>
      </w:r>
    </w:p>
    <w:p>
      <w:pPr>
        <w:pStyle w:val="ListBullet"/>
        <w:ind w:left="360" w:hanging="360"/>
      </w:pPr>
      <w:r>
        <w:rPr>
          <w:rFonts w:ascii="Calibri" w:hAnsi="Calibri"/>
          <w:b/>
          <w:color w:val="525866"/>
          <w:sz w:val="22"/>
        </w:rPr>
        <w:t xml:space="preserve">ABNB read-through: </w:t>
      </w:r>
      <w:r>
        <w:rPr>
          <w:rFonts w:ascii="Calibri" w:hAnsi="Calibri"/>
          <w:color w:val="525866"/>
          <w:sz w:val="22"/>
        </w:rPr>
        <w:t>Strongly positive. EXPE's beat-and-raise on bookings and raised full-year guidance confirms robust leisure travel demand in Q2 2026. The World Cup demand confirmation and healthy U.S. consumer are directly supportive of ABNB's Q2 setup.</w:t>
      </w:r>
    </w:p>
    <w:p>
      <w:pPr>
        <w:pStyle w:val="Heading3"/>
      </w:pPr>
      <w:r>
        <w:rPr>
          <w:rFonts w:ascii="Calibri" w:hAnsi="Calibri"/>
          <w:b/>
          <w:color w:val="3B4259"/>
          <w:sz w:val="24"/>
        </w:rPr>
        <w:t>Marriott International (MAR) — Q2 2026 Earnings (Reported August 3, 2026)</w:t>
      </w:r>
    </w:p>
    <w:p>
      <w:r>
        <w:rPr>
          <w:rFonts w:ascii="Calibri" w:hAnsi="Calibri"/>
          <w:b/>
          <w:color w:val="525866"/>
          <w:sz w:val="22"/>
        </w:rPr>
        <w:t xml:space="preserve">Relevance: </w:t>
      </w:r>
      <w:r>
        <w:rPr>
          <w:rFonts w:ascii="Calibri" w:hAnsi="Calibri"/>
          <w:color w:val="525866"/>
          <w:sz w:val="22"/>
        </w:rPr>
        <w:t>Moderate-high relevance; MAR's leisure demand trends and geographic commentary are strong read-throughs for ABNB's accommodation demand, particularly in the U.S. and Europe.</w:t>
      </w:r>
    </w:p>
    <w:p>
      <w:pPr>
        <w:pStyle w:val="ListBullet"/>
        <w:ind w:left="360" w:hanging="360"/>
      </w:pPr>
      <w:r>
        <w:rPr>
          <w:rFonts w:ascii="Calibri" w:hAnsi="Calibri"/>
          <w:b/>
          <w:color w:val="525866"/>
          <w:sz w:val="22"/>
        </w:rPr>
        <w:t xml:space="preserve">Leisure demand led all segments: </w:t>
      </w:r>
      <w:r>
        <w:rPr>
          <w:rFonts w:ascii="Calibri" w:hAnsi="Calibri"/>
          <w:color w:val="525866"/>
          <w:sz w:val="22"/>
        </w:rPr>
        <w:t xml:space="preserve">Leisure revenues rose 5% globally and 7% in the U.S. and Canada in Q2 2026. Management stated "leisure has been especially strong especially in the US but across all of our regions outside the Middle East." Full-year guidance raised to +3% to +3.5% global RevPAR growth (prior: +2% to +3%). </w:t>
      </w:r>
    </w:p>
    <w:p>
      <w:pPr>
        <w:pStyle w:val="ListBullet"/>
        <w:ind w:left="360" w:hanging="360"/>
      </w:pPr>
      <w:r>
        <w:rPr>
          <w:rFonts w:ascii="Calibri" w:hAnsi="Calibri"/>
          <w:b/>
          <w:color w:val="525866"/>
          <w:sz w:val="22"/>
        </w:rPr>
        <w:t xml:space="preserve">U.S. strongest in 13 quarters: </w:t>
      </w:r>
      <w:r>
        <w:rPr>
          <w:rFonts w:ascii="Calibri" w:hAnsi="Calibri"/>
          <w:color w:val="525866"/>
          <w:sz w:val="22"/>
        </w:rPr>
        <w:t xml:space="preserve">U.S. and Canada RevPAR rose 5% in Q2 2026, "the highest quarterly increase in 13 quarters," with strength pervasive across chain scales. "Strong demand trends extended into July." </w:t>
      </w:r>
    </w:p>
    <w:p>
      <w:pPr>
        <w:pStyle w:val="ListBullet"/>
        <w:ind w:left="360" w:hanging="360"/>
      </w:pPr>
      <w:r>
        <w:rPr>
          <w:rFonts w:ascii="Calibri" w:hAnsi="Calibri"/>
          <w:b/>
          <w:color w:val="525866"/>
          <w:sz w:val="22"/>
        </w:rPr>
        <w:t xml:space="preserve">World Cup provided larger-than-expected boost: </w:t>
      </w:r>
      <w:r>
        <w:rPr>
          <w:rFonts w:ascii="Calibri" w:hAnsi="Calibri"/>
          <w:color w:val="525866"/>
          <w:sz w:val="22"/>
        </w:rPr>
        <w:t xml:space="preserve">"The strong World Cup performance in June and July provided a slightly larger boost to full year global revenue than expected, at closer to 45 basis points globally, above our prior expectation of 30 to 35 basis points." </w:t>
      </w:r>
    </w:p>
    <w:p>
      <w:pPr>
        <w:pStyle w:val="ListBullet"/>
        <w:ind w:left="360" w:hanging="360"/>
      </w:pPr>
      <w:r>
        <w:rPr>
          <w:rFonts w:ascii="Calibri" w:hAnsi="Calibri"/>
          <w:b/>
          <w:color w:val="525866"/>
          <w:sz w:val="22"/>
        </w:rPr>
        <w:t xml:space="preserve">Europe leisure strong: </w:t>
      </w:r>
      <w:r>
        <w:rPr>
          <w:rFonts w:ascii="Calibri" w:hAnsi="Calibri"/>
          <w:color w:val="525866"/>
          <w:sz w:val="22"/>
        </w:rPr>
        <w:t xml:space="preserve">Europe RevPAR rose over 4%, "driven by strength in leisure, particularly in the Mediterranean countries including Italy, Spain and Greece." </w:t>
      </w:r>
    </w:p>
    <w:p>
      <w:pPr>
        <w:pStyle w:val="ListBullet"/>
        <w:ind w:left="360" w:hanging="360"/>
      </w:pPr>
      <w:r>
        <w:rPr>
          <w:rFonts w:ascii="Calibri" w:hAnsi="Calibri"/>
          <w:b/>
          <w:color w:val="525866"/>
          <w:sz w:val="22"/>
        </w:rPr>
        <w:t xml:space="preserve">Middle East significant drag: </w:t>
      </w:r>
      <w:r>
        <w:rPr>
          <w:rFonts w:ascii="Calibri" w:hAnsi="Calibri"/>
          <w:color w:val="525866"/>
          <w:sz w:val="22"/>
        </w:rPr>
        <w:t xml:space="preserve">Middle East RevPAR declined 43% in Q2 2026, though "a bit better than prior expectations on better than expected domestic leisure demand." Full-year net rooms growth now expected toward the low end of 4.5–5% range due to construction delays in the Middle East. </w:t>
      </w:r>
    </w:p>
    <w:p>
      <w:pPr>
        <w:pStyle w:val="ListBullet"/>
        <w:ind w:left="360" w:hanging="360"/>
      </w:pPr>
      <w:r>
        <w:rPr>
          <w:rFonts w:ascii="Calibri" w:hAnsi="Calibri"/>
          <w:b/>
          <w:i/>
          <w:color w:val="525866"/>
          <w:sz w:val="22"/>
        </w:rPr>
        <w:t xml:space="preserve">Company-specific caveat: </w:t>
      </w:r>
      <w:r>
        <w:rPr>
          <w:rFonts w:ascii="Calibri" w:hAnsi="Calibri"/>
          <w:i/>
          <w:color w:val="525866"/>
          <w:sz w:val="22"/>
        </w:rPr>
        <w:t>MAR's Middle East exposure is proportionally larger than ABNB's, and its hotel-centric model means the 43% RevPAR decline is not directly comparable to ABNB's ~100 bps headwind. MAR also faces a World Cup comp challenge in 2027.</w:t>
      </w:r>
    </w:p>
    <w:p>
      <w:pPr>
        <w:pStyle w:val="ListBullet"/>
        <w:ind w:left="360" w:hanging="360"/>
      </w:pPr>
      <w:r>
        <w:rPr>
          <w:rFonts w:ascii="Calibri" w:hAnsi="Calibri"/>
          <w:b/>
          <w:color w:val="525866"/>
          <w:sz w:val="22"/>
        </w:rPr>
        <w:t xml:space="preserve">ABNB read-through: </w:t>
      </w:r>
      <w:r>
        <w:rPr>
          <w:rFonts w:ascii="Calibri" w:hAnsi="Calibri"/>
          <w:color w:val="525866"/>
          <w:sz w:val="22"/>
        </w:rPr>
        <w:t>Positive on U.S. leisure demand and World Cup tailwind; the larger-than-expected World Cup boost is directly relevant to ABNB's Q2 GBV and Nights Booked. The Middle East drag is a known headwind already embedded in ABNB's guidance.</w:t>
      </w:r>
    </w:p>
    <w:p>
      <w:pPr>
        <w:pStyle w:val="Heading3"/>
      </w:pPr>
      <w:r>
        <w:rPr>
          <w:rFonts w:ascii="Calibri" w:hAnsi="Calibri"/>
          <w:b/>
          <w:color w:val="3B4259"/>
          <w:sz w:val="24"/>
        </w:rPr>
        <w:t>Hilton Worldwide (HLT) — Q2 2026 Earnings (Reported July 28, 2026)</w:t>
      </w:r>
    </w:p>
    <w:p>
      <w:r>
        <w:rPr>
          <w:rFonts w:ascii="Calibri" w:hAnsi="Calibri"/>
          <w:b/>
          <w:color w:val="525866"/>
          <w:sz w:val="22"/>
        </w:rPr>
        <w:t xml:space="preserve">Relevance: </w:t>
      </w:r>
      <w:r>
        <w:rPr>
          <w:rFonts w:ascii="Calibri" w:hAnsi="Calibri"/>
          <w:color w:val="525866"/>
          <w:sz w:val="22"/>
        </w:rPr>
        <w:t>Moderate relevance; HLT's demand trends and geographic commentary provide read-through for leisure accommodation demand, particularly in the U.S. and Europe.</w:t>
      </w:r>
    </w:p>
    <w:p>
      <w:pPr>
        <w:pStyle w:val="ListBullet"/>
        <w:ind w:left="360" w:hanging="360"/>
      </w:pPr>
      <w:r>
        <w:rPr>
          <w:rFonts w:ascii="Calibri" w:hAnsi="Calibri"/>
          <w:b/>
          <w:color w:val="525866"/>
          <w:sz w:val="22"/>
        </w:rPr>
        <w:t xml:space="preserve">Strong Q2 demand, raised full-year guidance: </w:t>
      </w:r>
      <w:r>
        <w:rPr>
          <w:rFonts w:ascii="Calibri" w:hAnsi="Calibri"/>
          <w:color w:val="525866"/>
          <w:sz w:val="22"/>
        </w:rPr>
        <w:t xml:space="preserve">CEO Christopher Nassetta stated the company "delivered strong top and bottom-line results for the second quarter, driven by the continuation of strengthening demand trends and broad-based momentum across our system, which we expect to continue for the remainder of the year and into 2027." Full-year RevPAR guidance raised to +3.0% to +3.5% (prior: +2% to +3%). </w:t>
      </w:r>
    </w:p>
    <w:p>
      <w:pPr>
        <w:pStyle w:val="ListBullet"/>
        <w:ind w:left="360" w:hanging="360"/>
      </w:pPr>
      <w:r>
        <w:rPr>
          <w:rFonts w:ascii="Calibri" w:hAnsi="Calibri"/>
          <w:b/>
          <w:color w:val="525866"/>
          <w:sz w:val="22"/>
        </w:rPr>
        <w:t xml:space="preserve">U.S. RevPAR +5.4%: </w:t>
      </w:r>
      <w:r>
        <w:rPr>
          <w:rFonts w:ascii="Calibri" w:hAnsi="Calibri"/>
          <w:color w:val="525866"/>
          <w:sz w:val="22"/>
        </w:rPr>
        <w:t xml:space="preserve">U.S. RevPAR increased 5.4% in Q2 2026, driven by a 1.6 pp increase in occupancy and 3.2% ADR growth. Lifestyle and extended-stay brands outperformed, with Graduate by Hilton (+8.8% RevPAR) and Tapestry Collection (+6.6%) leading. </w:t>
      </w:r>
    </w:p>
    <w:p>
      <w:pPr>
        <w:pStyle w:val="ListBullet"/>
        <w:ind w:left="360" w:hanging="360"/>
      </w:pPr>
      <w:r>
        <w:rPr>
          <w:rFonts w:ascii="Calibri" w:hAnsi="Calibri"/>
          <w:b/>
          <w:color w:val="525866"/>
          <w:sz w:val="22"/>
        </w:rPr>
        <w:t xml:space="preserve">World Cup boosted Q2 and Q3 outlook: </w:t>
      </w:r>
      <w:r>
        <w:rPr>
          <w:rFonts w:ascii="Calibri" w:hAnsi="Calibri"/>
          <w:color w:val="525866"/>
          <w:sz w:val="22"/>
        </w:rPr>
        <w:t xml:space="preserve">Q3 2026 system-wide RevPAR projected to increase ~4.0% YoY, with the outlook reflecting "expected third quarter benefits from the World Cup and favorable calendar shifts." </w:t>
      </w:r>
    </w:p>
    <w:p>
      <w:pPr>
        <w:pStyle w:val="ListBullet"/>
        <w:ind w:left="360" w:hanging="360"/>
      </w:pPr>
      <w:r>
        <w:rPr>
          <w:rFonts w:ascii="Calibri" w:hAnsi="Calibri"/>
          <w:b/>
          <w:color w:val="525866"/>
          <w:sz w:val="22"/>
        </w:rPr>
        <w:t xml:space="preserve">Middle East &amp; Africa significant drag: </w:t>
      </w:r>
      <w:r>
        <w:rPr>
          <w:rFonts w:ascii="Calibri" w:hAnsi="Calibri"/>
          <w:color w:val="525866"/>
          <w:sz w:val="22"/>
        </w:rPr>
        <w:t xml:space="preserve">Middle East &amp; Africa RevPAR declined 29.5% in Q2 2026, with occupancy falling 16.1 pp to 53.0%. </w:t>
      </w:r>
    </w:p>
    <w:p>
      <w:pPr>
        <w:pStyle w:val="ListBullet"/>
        <w:ind w:left="360" w:hanging="360"/>
      </w:pPr>
      <w:r>
        <w:rPr>
          <w:rFonts w:ascii="Calibri" w:hAnsi="Calibri"/>
          <w:b/>
          <w:i/>
          <w:color w:val="525866"/>
          <w:sz w:val="22"/>
        </w:rPr>
        <w:t xml:space="preserve">Company-specific caveat: </w:t>
      </w:r>
      <w:r>
        <w:rPr>
          <w:rFonts w:ascii="Calibri" w:hAnsi="Calibri"/>
          <w:i/>
          <w:color w:val="525866"/>
          <w:sz w:val="22"/>
        </w:rPr>
        <w:t>HLT shares fell ~3% post-earnings despite the beat, as Q3 EPS guidance of $2.28–$2.34 came in below the Street's $2.42 estimate. The stock reaction reflects valuation concerns (stock had become "substantially more expensive") rather than demand weakness — not a read-through for ABNB demand.</w:t>
      </w:r>
    </w:p>
    <w:p>
      <w:pPr>
        <w:pStyle w:val="ListBullet"/>
        <w:ind w:left="360" w:hanging="360"/>
      </w:pPr>
      <w:r>
        <w:rPr>
          <w:rFonts w:ascii="Calibri" w:hAnsi="Calibri"/>
          <w:b/>
          <w:color w:val="525866"/>
          <w:sz w:val="22"/>
        </w:rPr>
        <w:t xml:space="preserve">ABNB read-through: </w:t>
      </w:r>
      <w:r>
        <w:rPr>
          <w:rFonts w:ascii="Calibri" w:hAnsi="Calibri"/>
          <w:color w:val="525866"/>
          <w:sz w:val="22"/>
        </w:rPr>
        <w:t>Positive on U.S. leisure demand and World Cup tailwind; the Q3 RevPAR guidance of +4% is a constructive signal for summer travel demand that overlaps with ABNB's Q3 2026 setup.</w:t>
      </w:r>
    </w:p>
    <w:p>
      <w:pPr>
        <w:pStyle w:val="Heading3"/>
      </w:pPr>
      <w:r>
        <w:rPr>
          <w:rFonts w:ascii="Calibri" w:hAnsi="Calibri"/>
          <w:b/>
          <w:color w:val="3B4259"/>
          <w:sz w:val="24"/>
        </w:rPr>
        <w:t>Hyatt Hotels (H) — Q2 2026 Earnings (Reported July 30, 2026)</w:t>
      </w:r>
    </w:p>
    <w:p>
      <w:r>
        <w:rPr>
          <w:rFonts w:ascii="Calibri" w:hAnsi="Calibri"/>
          <w:b/>
          <w:color w:val="525866"/>
          <w:sz w:val="22"/>
        </w:rPr>
        <w:t xml:space="preserve">Relevance: </w:t>
      </w:r>
      <w:r>
        <w:rPr>
          <w:rFonts w:ascii="Calibri" w:hAnsi="Calibri"/>
          <w:color w:val="525866"/>
          <w:sz w:val="22"/>
        </w:rPr>
        <w:t>Moderate relevance; Hyatt's leisure transient and all-inclusive commentary provides read-through for premium leisure demand.</w:t>
      </w:r>
    </w:p>
    <w:p>
      <w:pPr>
        <w:pStyle w:val="ListBullet"/>
        <w:ind w:left="360" w:hanging="360"/>
      </w:pPr>
      <w:r>
        <w:rPr>
          <w:rFonts w:ascii="Calibri" w:hAnsi="Calibri"/>
          <w:b/>
          <w:color w:val="525866"/>
          <w:sz w:val="22"/>
        </w:rPr>
        <w:t xml:space="preserve">Leisure transient RevPAR strong: </w:t>
      </w:r>
      <w:r>
        <w:rPr>
          <w:rFonts w:ascii="Calibri" w:hAnsi="Calibri"/>
          <w:color w:val="525866"/>
          <w:sz w:val="22"/>
        </w:rPr>
        <w:t xml:space="preserve">Comparable system-wide hotels RevPAR increased 5.9% in Q2 2026, reaching $158.70. U.S. RevPAR grew 6.7%, with ADR up 5.7%. Full-year system-wide hotels RevPAR growth guidance raised to 3.5%–4.5% (prior guidance implied lower). </w:t>
      </w:r>
    </w:p>
    <w:p>
      <w:pPr>
        <w:pStyle w:val="ListBullet"/>
        <w:ind w:left="360" w:hanging="360"/>
      </w:pPr>
      <w:r>
        <w:rPr>
          <w:rFonts w:ascii="Calibri" w:hAnsi="Calibri"/>
          <w:b/>
          <w:color w:val="525866"/>
          <w:sz w:val="22"/>
        </w:rPr>
        <w:t xml:space="preserve">World Cup drove U.S. outperformance: </w:t>
      </w:r>
      <w:r>
        <w:rPr>
          <w:rFonts w:ascii="Calibri" w:hAnsi="Calibri"/>
          <w:color w:val="525866"/>
          <w:sz w:val="22"/>
        </w:rPr>
        <w:t xml:space="preserve">The strong Q2 U.S. performance "included the FIFA World Cup," which was a key driver of the raised full-year outlook. </w:t>
      </w:r>
    </w:p>
    <w:p>
      <w:pPr>
        <w:pStyle w:val="ListBullet"/>
        <w:ind w:left="360" w:hanging="360"/>
      </w:pPr>
      <w:r>
        <w:rPr>
          <w:rFonts w:ascii="Calibri" w:hAnsi="Calibri"/>
          <w:b/>
          <w:color w:val="525866"/>
          <w:sz w:val="22"/>
        </w:rPr>
        <w:t xml:space="preserve">All-inclusive segment softer: </w:t>
      </w:r>
      <w:r>
        <w:rPr>
          <w:rFonts w:ascii="Calibri" w:hAnsi="Calibri"/>
          <w:color w:val="525866"/>
          <w:sz w:val="22"/>
        </w:rPr>
        <w:t xml:space="preserve">All-inclusive resorts saw Net Package RevPAR decline 1.2% in Q2 2026, attributed to security concerns in Mexico during Q1 and lower airlift into certain destinations. Booking trends in Mexico "continue to improve sequentially" but "slower than previously anticipated." </w:t>
      </w:r>
    </w:p>
    <w:p>
      <w:pPr>
        <w:pStyle w:val="ListBullet"/>
        <w:ind w:left="360" w:hanging="360"/>
      </w:pPr>
      <w:r>
        <w:rPr>
          <w:rFonts w:ascii="Calibri" w:hAnsi="Calibri"/>
          <w:b/>
          <w:color w:val="525866"/>
          <w:sz w:val="22"/>
        </w:rPr>
        <w:t xml:space="preserve">Middle East &amp; Africa: </w:t>
      </w:r>
      <w:r>
        <w:rPr>
          <w:rFonts w:ascii="Calibri" w:hAnsi="Calibri"/>
          <w:color w:val="525866"/>
          <w:sz w:val="22"/>
        </w:rPr>
        <w:t xml:space="preserve">RevPAR declined 28.3% in Q2 2026, negatively impacting system-wide RevPAR growth by ~110 bps. </w:t>
      </w:r>
    </w:p>
    <w:p>
      <w:pPr>
        <w:pStyle w:val="ListBullet"/>
        <w:ind w:left="360" w:hanging="360"/>
      </w:pPr>
      <w:r>
        <w:rPr>
          <w:rFonts w:ascii="Calibri" w:hAnsi="Calibri"/>
          <w:b/>
          <w:i/>
          <w:color w:val="525866"/>
          <w:sz w:val="22"/>
        </w:rPr>
        <w:t xml:space="preserve">Company-specific caveat: </w:t>
      </w:r>
      <w:r>
        <w:rPr>
          <w:rFonts w:ascii="Calibri" w:hAnsi="Calibri"/>
          <w:i/>
          <w:color w:val="525866"/>
          <w:sz w:val="22"/>
        </w:rPr>
        <w:t>Hyatt's all-inclusive resort softness (Mexico/Jamaica) is specific to its portfolio mix and not directly applicable to ABNB's home-sharing model. The Mexico security concern is a Hyatt-specific issue.</w:t>
      </w:r>
    </w:p>
    <w:p>
      <w:pPr>
        <w:pStyle w:val="ListBullet"/>
        <w:ind w:left="360" w:hanging="360"/>
      </w:pPr>
      <w:r>
        <w:rPr>
          <w:rFonts w:ascii="Calibri" w:hAnsi="Calibri"/>
          <w:b/>
          <w:color w:val="525866"/>
          <w:sz w:val="22"/>
        </w:rPr>
        <w:t xml:space="preserve">ABNB read-through: </w:t>
      </w:r>
      <w:r>
        <w:rPr>
          <w:rFonts w:ascii="Calibri" w:hAnsi="Calibri"/>
          <w:color w:val="525866"/>
          <w:sz w:val="22"/>
        </w:rPr>
        <w:t>Positive on U.S. and international leisure transient demand; the World Cup confirmation and strong ADR growth are supportive. The all-inclusive softness is not a meaningful read-through for ABNB.</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ABNB Read-Through</w:t>
            </w:r>
          </w:p>
        </w:tc>
        <w:tc>
          <w:tcPr>
            <w:tcW w:type="dxa" w:w="1728"/>
            <w:shd w:val="clear" w:color="auto" w:fill="3B4259"/>
          </w:tcPr>
          <w:p>
            <w:r>
              <w:rPr>
                <w:rFonts w:ascii="Calibri" w:hAnsi="Calibri"/>
                <w:b/>
                <w:color w:val="FFFFFF"/>
                <w:sz w:val="22"/>
              </w:rPr>
              <w:t>Caveats</w:t>
            </w:r>
          </w:p>
        </w:tc>
      </w:tr>
      <w:tr>
        <w:tc>
          <w:tcPr>
            <w:tcW w:type="dxa" w:w="1728"/>
          </w:tcPr>
          <w:p>
            <w:r>
              <w:rPr>
                <w:rFonts w:ascii="Calibri" w:hAnsi="Calibri"/>
                <w:sz w:val="22"/>
              </w:rPr>
              <w:t>BKNG</w:t>
            </w:r>
          </w:p>
        </w:tc>
        <w:tc>
          <w:tcPr>
            <w:tcW w:type="dxa" w:w="1728"/>
          </w:tcPr>
          <w:p>
            <w:r>
              <w:rPr>
                <w:rFonts w:ascii="Calibri" w:hAnsi="Calibri"/>
                <w:sz w:val="22"/>
              </w:rPr>
              <w:t>Aug 4, 2026</w:t>
            </w:r>
          </w:p>
        </w:tc>
        <w:tc>
          <w:tcPr>
            <w:tcW w:type="dxa" w:w="1728"/>
          </w:tcPr>
          <w:p>
            <w:r>
              <w:rPr>
                <w:rFonts w:ascii="Calibri" w:hAnsi="Calibri"/>
                <w:sz w:val="22"/>
              </w:rPr>
              <w:t>Room nights +5% (beat); domestic high-single digits; alt. accommodation +4%; ADR +2% CC; Q3 demand resilient</w:t>
            </w:r>
          </w:p>
        </w:tc>
        <w:tc>
          <w:tcPr>
            <w:tcW w:type="dxa" w:w="1728"/>
          </w:tcPr>
          <w:p>
            <w:r>
              <w:rPr>
                <w:rFonts w:ascii="Calibri" w:hAnsi="Calibri"/>
                <w:b/>
                <w:color w:val="30A46C"/>
                <w:sz w:val="22"/>
              </w:rPr>
              <w:t>Positive</w:t>
            </w:r>
          </w:p>
        </w:tc>
        <w:tc>
          <w:tcPr>
            <w:tcW w:type="dxa" w:w="1728"/>
          </w:tcPr>
          <w:p>
            <w:r>
              <w:rPr>
                <w:rFonts w:ascii="Calibri" w:hAnsi="Calibri"/>
                <w:sz w:val="22"/>
              </w:rPr>
              <w:t>Alt. accommodation slightly lagged overall; US alt. accommodation offering smaller for BKNG</w:t>
            </w:r>
          </w:p>
        </w:tc>
      </w:tr>
      <w:tr>
        <w:tc>
          <w:tcPr>
            <w:tcW w:type="dxa" w:w="1728"/>
          </w:tcPr>
          <w:p>
            <w:r>
              <w:rPr>
                <w:rFonts w:ascii="Calibri" w:hAnsi="Calibri"/>
                <w:sz w:val="22"/>
              </w:rPr>
              <w:t>EXPE</w:t>
            </w:r>
          </w:p>
        </w:tc>
        <w:tc>
          <w:tcPr>
            <w:tcW w:type="dxa" w:w="1728"/>
          </w:tcPr>
          <w:p>
            <w:r>
              <w:rPr>
                <w:rFonts w:ascii="Calibri" w:hAnsi="Calibri"/>
                <w:sz w:val="22"/>
              </w:rPr>
              <w:t>Aug 5, 2026</w:t>
            </w:r>
          </w:p>
        </w:tc>
        <w:tc>
          <w:tcPr>
            <w:tcW w:type="dxa" w:w="1728"/>
          </w:tcPr>
          <w:p>
            <w:r>
              <w:rPr>
                <w:rFonts w:ascii="Calibri" w:hAnsi="Calibri"/>
                <w:sz w:val="22"/>
              </w:rPr>
              <w:t>Gross bookings beat; raised FY guidance; World Cup demand confirmed; U.S. consumer healthy</w:t>
            </w:r>
          </w:p>
        </w:tc>
        <w:tc>
          <w:tcPr>
            <w:tcW w:type="dxa" w:w="1728"/>
          </w:tcPr>
          <w:p>
            <w:r>
              <w:rPr>
                <w:rFonts w:ascii="Calibri" w:hAnsi="Calibri"/>
                <w:b/>
                <w:color w:val="30A46C"/>
                <w:sz w:val="22"/>
              </w:rPr>
              <w:t>Strongly Positive</w:t>
            </w:r>
          </w:p>
        </w:tc>
        <w:tc>
          <w:tcPr>
            <w:tcW w:type="dxa" w:w="1728"/>
          </w:tcPr>
          <w:p>
            <w:r>
              <w:rPr>
                <w:rFonts w:ascii="Calibri" w:hAnsi="Calibri"/>
                <w:sz w:val="22"/>
              </w:rPr>
              <w:t>Vrbo-specific AI investments early-stage; not yet material</w:t>
            </w:r>
          </w:p>
        </w:tc>
      </w:tr>
      <w:tr>
        <w:tc>
          <w:tcPr>
            <w:tcW w:type="dxa" w:w="1728"/>
          </w:tcPr>
          <w:p>
            <w:r>
              <w:rPr>
                <w:rFonts w:ascii="Calibri" w:hAnsi="Calibri"/>
                <w:sz w:val="22"/>
              </w:rPr>
              <w:t>MAR</w:t>
            </w:r>
          </w:p>
        </w:tc>
        <w:tc>
          <w:tcPr>
            <w:tcW w:type="dxa" w:w="1728"/>
          </w:tcPr>
          <w:p>
            <w:r>
              <w:rPr>
                <w:rFonts w:ascii="Calibri" w:hAnsi="Calibri"/>
                <w:sz w:val="22"/>
              </w:rPr>
              <w:t>Aug 3, 2026</w:t>
            </w:r>
          </w:p>
        </w:tc>
        <w:tc>
          <w:tcPr>
            <w:tcW w:type="dxa" w:w="1728"/>
          </w:tcPr>
          <w:p>
            <w:r>
              <w:rPr>
                <w:rFonts w:ascii="Calibri" w:hAnsi="Calibri"/>
                <w:sz w:val="22"/>
              </w:rPr>
              <w:t>Leisure revenues +5% globally, +7% U.S.; U.S. RevPAR highest in 13 quarters; World Cup +45 bps vs. +30–35 bps expected</w:t>
            </w:r>
          </w:p>
        </w:tc>
        <w:tc>
          <w:tcPr>
            <w:tcW w:type="dxa" w:w="1728"/>
          </w:tcPr>
          <w:p>
            <w:r>
              <w:rPr>
                <w:rFonts w:ascii="Calibri" w:hAnsi="Calibri"/>
                <w:b/>
                <w:color w:val="30A46C"/>
                <w:sz w:val="22"/>
              </w:rPr>
              <w:t>Positive</w:t>
            </w:r>
          </w:p>
        </w:tc>
        <w:tc>
          <w:tcPr>
            <w:tcW w:type="dxa" w:w="1728"/>
          </w:tcPr>
          <w:p>
            <w:r>
              <w:rPr>
                <w:rFonts w:ascii="Calibri" w:hAnsi="Calibri"/>
                <w:sz w:val="22"/>
              </w:rPr>
              <w:t>Middle East exposure larger for MAR; net rooms growth toward low end due to construction delays</w:t>
            </w:r>
          </w:p>
        </w:tc>
      </w:tr>
      <w:tr>
        <w:tc>
          <w:tcPr>
            <w:tcW w:type="dxa" w:w="1728"/>
          </w:tcPr>
          <w:p>
            <w:r>
              <w:rPr>
                <w:rFonts w:ascii="Calibri" w:hAnsi="Calibri"/>
                <w:sz w:val="22"/>
              </w:rPr>
              <w:t>HLT</w:t>
            </w:r>
          </w:p>
        </w:tc>
        <w:tc>
          <w:tcPr>
            <w:tcW w:type="dxa" w:w="1728"/>
          </w:tcPr>
          <w:p>
            <w:r>
              <w:rPr>
                <w:rFonts w:ascii="Calibri" w:hAnsi="Calibri"/>
                <w:sz w:val="22"/>
              </w:rPr>
              <w:t>Jul 28, 2026</w:t>
            </w:r>
          </w:p>
        </w:tc>
        <w:tc>
          <w:tcPr>
            <w:tcW w:type="dxa" w:w="1728"/>
          </w:tcPr>
          <w:p>
            <w:r>
              <w:rPr>
                <w:rFonts w:ascii="Calibri" w:hAnsi="Calibri"/>
                <w:sz w:val="22"/>
              </w:rPr>
              <w:t>RevPAR +3.9% system-wide; U.S. +5.4%; raised FY RevPAR guidance to +3–3.5%; Q3 World Cup tailwind expected</w:t>
            </w:r>
          </w:p>
        </w:tc>
        <w:tc>
          <w:tcPr>
            <w:tcW w:type="dxa" w:w="1728"/>
          </w:tcPr>
          <w:p>
            <w:r>
              <w:rPr>
                <w:rFonts w:ascii="Calibri" w:hAnsi="Calibri"/>
                <w:b/>
                <w:color w:val="30A46C"/>
                <w:sz w:val="22"/>
              </w:rPr>
              <w:t>Positive</w:t>
            </w:r>
          </w:p>
        </w:tc>
        <w:tc>
          <w:tcPr>
            <w:tcW w:type="dxa" w:w="1728"/>
          </w:tcPr>
          <w:p>
            <w:r>
              <w:rPr>
                <w:rFonts w:ascii="Calibri" w:hAnsi="Calibri"/>
                <w:sz w:val="22"/>
              </w:rPr>
              <w:t>Q3 EPS guidance missed Street; stock fell on valuation, not demand concerns</w:t>
            </w:r>
          </w:p>
        </w:tc>
      </w:tr>
      <w:tr>
        <w:tc>
          <w:tcPr>
            <w:tcW w:type="dxa" w:w="1728"/>
          </w:tcPr>
          <w:p>
            <w:r>
              <w:rPr>
                <w:rFonts w:ascii="Calibri" w:hAnsi="Calibri"/>
                <w:sz w:val="22"/>
              </w:rPr>
              <w:t>H (Hyatt)</w:t>
            </w:r>
          </w:p>
        </w:tc>
        <w:tc>
          <w:tcPr>
            <w:tcW w:type="dxa" w:w="1728"/>
          </w:tcPr>
          <w:p>
            <w:r>
              <w:rPr>
                <w:rFonts w:ascii="Calibri" w:hAnsi="Calibri"/>
                <w:sz w:val="22"/>
              </w:rPr>
              <w:t>Jul 30, 2026</w:t>
            </w:r>
          </w:p>
        </w:tc>
        <w:tc>
          <w:tcPr>
            <w:tcW w:type="dxa" w:w="1728"/>
          </w:tcPr>
          <w:p>
            <w:r>
              <w:rPr>
                <w:rFonts w:ascii="Calibri" w:hAnsi="Calibri"/>
                <w:sz w:val="22"/>
              </w:rPr>
              <w:t>System-wide RevPAR +5.9%; U.S. +6.7%; World Cup drove U.S. outperformance; FY guidance raised</w:t>
            </w:r>
          </w:p>
        </w:tc>
        <w:tc>
          <w:tcPr>
            <w:tcW w:type="dxa" w:w="1728"/>
          </w:tcPr>
          <w:p>
            <w:r>
              <w:rPr>
                <w:rFonts w:ascii="Calibri" w:hAnsi="Calibri"/>
                <w:b/>
                <w:color w:val="30A46C"/>
                <w:sz w:val="22"/>
              </w:rPr>
              <w:t>Positive</w:t>
            </w:r>
          </w:p>
        </w:tc>
        <w:tc>
          <w:tcPr>
            <w:tcW w:type="dxa" w:w="1728"/>
          </w:tcPr>
          <w:p>
            <w:r>
              <w:rPr>
                <w:rFonts w:ascii="Calibri" w:hAnsi="Calibri"/>
                <w:sz w:val="22"/>
              </w:rPr>
              <w:t>All-inclusive softness (Mexico/Jamaica) is portfolio-specific; not applicable to ABNB</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p>
    <w:p>
      <w:r>
        <w:rPr>
          <w:rFonts w:ascii="Calibri" w:hAnsi="Calibri"/>
          <w:b/>
          <w:color w:val="525866"/>
          <w:sz w:val="22"/>
        </w:rPr>
        <w:t>FIFA World Cup 2026</w:t>
      </w:r>
      <w:r>
        <w:rPr>
          <w:rFonts w:ascii="Calibri" w:hAnsi="Calibri"/>
          <w:color w:val="525866"/>
          <w:sz w:val="22"/>
        </w:rPr>
        <w:t xml:space="preserve"> — ABNB expected to host more guests than at any event in its history, with 100,000+ new listings added in host cities, which should be a meaningful Q2 GBV and Nights Booked tailwind confirmed by peer commentary.</w:t>
      </w:r>
    </w:p>
    <w:p>
      <w:pPr>
        <w:pStyle w:val="ListBullet"/>
        <w:ind w:left="360" w:hanging="360"/>
      </w:pPr>
      <w:r>
        <w:rPr>
          <w:rFonts w:ascii="Calibri" w:hAnsi="Calibri"/>
          <w:b/>
          <w:color w:val="525866"/>
          <w:sz w:val="22"/>
        </w:rPr>
        <w:t xml:space="preserve">FIFA World Cup 2026 (June–July 2026): </w:t>
      </w:r>
      <w:r>
        <w:rPr>
          <w:rFonts w:ascii="Calibri" w:hAnsi="Calibri"/>
          <w:color w:val="525866"/>
          <w:sz w:val="22"/>
        </w:rPr>
        <w:t xml:space="preserve">ABNB expected to host more guests than at any event in its history across 16 cities in 3 countries. Over 100,000 homes in host cities listed for the first time since outreach began in October 2025. Peer data from MAR, HLT, and EXPE all confirm the World Cup provided a larger-than-expected demand tailwind in Q2 2026. </w:t>
      </w:r>
    </w:p>
    <w:p>
      <w:pPr>
        <w:pStyle w:val="ListBullet"/>
        <w:ind w:left="360" w:hanging="360"/>
      </w:pPr>
      <w:r>
        <w:rPr>
          <w:rFonts w:ascii="Calibri" w:hAnsi="Calibri"/>
          <w:b/>
          <w:color w:val="525866"/>
          <w:sz w:val="22"/>
        </w:rPr>
        <w:t xml:space="preserve">Q2 2026 Earnings Announcement (July 9, 2026): </w:t>
      </w:r>
      <w:r>
        <w:rPr>
          <w:rFonts w:ascii="Calibri" w:hAnsi="Calibri"/>
          <w:color w:val="525866"/>
          <w:sz w:val="22"/>
        </w:rPr>
        <w:t xml:space="preserve">ABNB announced it would report Q2 2026 results on August 6, 2026 after market close, with a conference call at 5:00 PM ET. </w:t>
      </w:r>
    </w:p>
    <w:p>
      <w:pPr>
        <w:pStyle w:val="ListBullet"/>
        <w:ind w:left="360" w:hanging="360"/>
      </w:pPr>
      <w:r>
        <w:rPr>
          <w:rFonts w:ascii="Calibri" w:hAnsi="Calibri"/>
          <w:b/>
          <w:color w:val="525866"/>
          <w:sz w:val="22"/>
        </w:rPr>
        <w:t xml:space="preserve">Peer Earnings Confirm Robust Leisure Demand (July–August 2026): </w:t>
      </w:r>
      <w:r>
        <w:rPr>
          <w:rFonts w:ascii="Calibri" w:hAnsi="Calibri"/>
          <w:color w:val="525866"/>
          <w:sz w:val="22"/>
        </w:rPr>
        <w:t xml:space="preserve">BKNG (Aug 4), EXPE (Aug 5), MAR (Aug 3), HLT (Jul 28), and H (Jul 30) all reported Q2 2026 results with constructive leisure demand commentary, raised full-year guidance, and confirmed World Cup tailwinds. BKNG reported bookings of $51B vs. Street expectations of $49.7B; EXPE raised full-year bookings growth guidance to 8–9%. </w:t>
      </w:r>
    </w:p>
    <w:p>
      <w:pPr>
        <w:pStyle w:val="ListBullet"/>
        <w:ind w:left="360" w:hanging="360"/>
      </w:pPr>
      <w:r>
        <w:rPr>
          <w:rFonts w:ascii="Calibri" w:hAnsi="Calibri"/>
          <w:b/>
          <w:color w:val="525866"/>
          <w:sz w:val="22"/>
        </w:rPr>
        <w:t xml:space="preserve">Tripadvisor Finalizes $700M Sale of TheFork to American Express (August 3, 2026): </w:t>
      </w:r>
      <w:r>
        <w:rPr>
          <w:rFonts w:ascii="Calibri" w:hAnsi="Calibri"/>
          <w:color w:val="525866"/>
          <w:sz w:val="22"/>
        </w:rPr>
        <w:t xml:space="preserve">TRIP completed the sale of its restaurant reservation platform TheFork to American Express for $700M. Implication: consolidation in the travel/experiences space; ABNB's own Experiences expansion faces a more focused competitive landscape. </w:t>
      </w:r>
    </w:p>
    <w:p>
      <w:pPr>
        <w:pStyle w:val="ListBullet"/>
        <w:ind w:left="360" w:hanging="360"/>
      </w:pPr>
      <w:r>
        <w:rPr>
          <w:rFonts w:ascii="Calibri" w:hAnsi="Calibri"/>
          <w:b/>
          <w:color w:val="525866"/>
          <w:sz w:val="22"/>
        </w:rPr>
        <w:t xml:space="preserve">Marriott Q2 2026 — Soft Net Rooms Growth Guidance (August 3, 2026): </w:t>
      </w:r>
      <w:r>
        <w:rPr>
          <w:rFonts w:ascii="Calibri" w:hAnsi="Calibri"/>
          <w:color w:val="525866"/>
          <w:sz w:val="22"/>
        </w:rPr>
        <w:t xml:space="preserve">MAR guided net rooms growth toward the low end of its 4.5–5% range due to construction delays in the Middle East. Shares fell ~6–7%. Implication: hotel supply constraints in certain markets could benefit ABNB's alternative accommodation supply, particularly in cities where hotel supply is constrained. </w:t>
      </w:r>
    </w:p>
    <w:p>
      <w:pPr>
        <w:pStyle w:val="ListBullet"/>
        <w:ind w:left="360" w:hanging="360"/>
      </w:pPr>
      <w:r>
        <w:rPr>
          <w:rFonts w:ascii="Calibri" w:hAnsi="Calibri"/>
          <w:b/>
          <w:color w:val="525866"/>
          <w:sz w:val="22"/>
        </w:rPr>
        <w:t xml:space="preserve">Hilton Q2 2026 — Q3 EPS Guidance Miss (July 28, 2026): </w:t>
      </w:r>
      <w:r>
        <w:rPr>
          <w:rFonts w:ascii="Calibri" w:hAnsi="Calibri"/>
          <w:color w:val="525866"/>
          <w:sz w:val="22"/>
        </w:rPr>
        <w:t xml:space="preserve">HLT's Q3 EPS guidance of $2.28–$2.34 came in below the Street's $2.42 estimate; shares fell ~3–4%. Implication: valuation-driven, not demand-driven; no negative read-through for ABNB demand. </w:t>
      </w:r>
    </w:p>
    <w:p>
      <w:pPr>
        <w:pStyle w:val="ListBullet"/>
        <w:ind w:left="360" w:hanging="360"/>
      </w:pPr>
      <w:r>
        <w:rPr>
          <w:rFonts w:ascii="Calibri" w:hAnsi="Calibri"/>
          <w:b/>
          <w:color w:val="525866"/>
          <w:sz w:val="22"/>
        </w:rPr>
        <w:t xml:space="preserve">ABNB Receives Investment-Grade Credit Ratings / Senior Unsecured Debt Offering (Prior to Q2): </w:t>
      </w:r>
      <w:r>
        <w:rPr>
          <w:rFonts w:ascii="Calibri" w:hAnsi="Calibri"/>
          <w:color w:val="525866"/>
          <w:sz w:val="22"/>
        </w:rPr>
        <w:t xml:space="preserve">ABNB received investment-grade ratings from major agencies and completed a senior unsecured debt offering, establishing a new presence in the corporate bond market. Implication: strengthens balance sheet flexibility for capital returns and growth investments. </w:t>
      </w:r>
    </w:p>
    <w:p>
      <w:pPr>
        <w:pStyle w:val="ListBullet"/>
        <w:ind w:left="360" w:hanging="360"/>
      </w:pPr>
      <w:r>
        <w:rPr>
          <w:rFonts w:ascii="Calibri" w:hAnsi="Calibri"/>
          <w:b/>
          <w:color w:val="525866"/>
          <w:sz w:val="22"/>
        </w:rPr>
        <w:t xml:space="preserve">Shareholder Meeting — Directors Elected, All Stockholder Proposals Rejected (June 11, 2026): </w:t>
      </w:r>
      <w:r>
        <w:rPr>
          <w:rFonts w:ascii="Calibri" w:hAnsi="Calibri"/>
          <w:color w:val="525866"/>
          <w:sz w:val="22"/>
        </w:rPr>
        <w:t xml:space="preserve">ABNB shareholders elected directors, approved executive pay, and rejected all stockholder proposals at the annual meeting. No material governance changes. </w:t>
      </w:r>
    </w:p>
    <w:p>
      <w:pPr>
        <w:pStyle w:val="ListBullet"/>
        <w:ind w:left="360" w:hanging="360"/>
      </w:pPr>
      <w:r>
        <w:rPr>
          <w:rFonts w:ascii="Calibri" w:hAnsi="Calibri"/>
          <w:b/>
          <w:color w:val="525866"/>
          <w:sz w:val="22"/>
        </w:rPr>
        <w:t xml:space="preserve">Middle East Conflict — Ongoing Headwind (Throughout Q2 2026): </w:t>
      </w:r>
      <w:r>
        <w:rPr>
          <w:rFonts w:ascii="Calibri" w:hAnsi="Calibri"/>
          <w:color w:val="525866"/>
          <w:sz w:val="22"/>
        </w:rPr>
        <w:t xml:space="preserve">The ongoing conflict in the Middle East continued to create headwinds for long-haul international travel and elevated cancellations in EMEA and APAC. ABNB guided for ~100 bps headwind to Nights Booked growth in Q2. Peer data from BKNG, MAR, HLT, and H all confirm the Middle East was a drag, but the situation began normalizing in June/July. </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print are </w:t>
      </w:r>
    </w:p>
    <w:p>
      <w:r>
        <w:rPr>
          <w:rFonts w:ascii="Calibri" w:hAnsi="Calibri"/>
          <w:b/>
          <w:color w:val="525866"/>
          <w:sz w:val="22"/>
        </w:rPr>
        <w:t>10b5-1 planned sales</w:t>
      </w:r>
      <w:r>
        <w:rPr>
          <w:rFonts w:ascii="Calibri" w:hAnsi="Calibri"/>
          <w:color w:val="525866"/>
          <w:sz w:val="22"/>
        </w:rPr>
        <w:t xml:space="preserve"> — no discretionary open-market selling or buying. The volume of sales is notable (particularly Joseph Gebbia's large dispositions), but the pre-planned nature reduces the signal value. </w:t>
      </w:r>
    </w:p>
    <w:p>
      <w:r>
        <w:rPr>
          <w:rFonts w:ascii="Calibri" w:hAnsi="Calibri"/>
          <w:i/>
          <w:color w:val="525866"/>
          <w:sz w:val="22"/>
        </w:rPr>
        <w:t>No open-market buys have been filed. All transactions are 10b5-1 planned sales (pre-scheduled, not discretionary). The absence of any discretionary buying or selling means the insider activity does not provide a meaningful directional signal for the Q2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Gebbia, Joseph</w:t>
            </w:r>
          </w:p>
        </w:tc>
        <w:tc>
          <w:tcPr>
            <w:tcW w:type="dxa" w:w="1234"/>
          </w:tcPr>
          <w:p>
            <w:r>
              <w:rPr>
                <w:rFonts w:ascii="Calibri" w:hAnsi="Calibri"/>
                <w:sz w:val="22"/>
              </w:rPr>
              <w:t>10% Owner, Director</w:t>
            </w:r>
          </w:p>
        </w:tc>
        <w:tc>
          <w:tcPr>
            <w:tcW w:type="dxa" w:w="1234"/>
          </w:tcPr>
          <w:p>
            <w:r>
              <w:rPr>
                <w:rFonts w:ascii="Calibri" w:hAnsi="Calibri"/>
                <w:sz w:val="22"/>
              </w:rPr>
              <w:t>10b5-1 Planned Sale</w:t>
            </w:r>
          </w:p>
        </w:tc>
        <w:tc>
          <w:tcPr>
            <w:tcW w:type="dxa" w:w="1234"/>
          </w:tcPr>
          <w:p>
            <w:r>
              <w:rPr>
                <w:rFonts w:ascii="Calibri" w:hAnsi="Calibri"/>
                <w:sz w:val="22"/>
              </w:rPr>
              <w:t>1,828,303</w:t>
            </w:r>
          </w:p>
        </w:tc>
        <w:tc>
          <w:tcPr>
            <w:tcW w:type="dxa" w:w="1234"/>
          </w:tcPr>
          <w:p>
            <w:r>
              <w:rPr>
                <w:rFonts w:ascii="Calibri" w:hAnsi="Calibri"/>
                <w:sz w:val="22"/>
              </w:rPr>
              <w:t>~$234M (Form 144)</w:t>
            </w:r>
          </w:p>
        </w:tc>
        <w:tc>
          <w:tcPr>
            <w:tcW w:type="dxa" w:w="1234"/>
          </w:tcPr>
          <w:p>
            <w:r>
              <w:rPr>
                <w:rFonts w:ascii="Calibri" w:hAnsi="Calibri"/>
                <w:sz w:val="22"/>
              </w:rPr>
              <w:t>Jul 27–28, 2026</w:t>
            </w:r>
          </w:p>
        </w:tc>
        <w:tc>
          <w:tcPr>
            <w:tcW w:type="dxa" w:w="1234"/>
          </w:tcPr>
          <w:p>
            <w:r>
              <w:rPr>
                <w:rFonts w:ascii="Calibri" w:hAnsi="Calibri"/>
                <w:sz w:val="22"/>
              </w:rPr>
              <w:t>Largest single transaction; pre-planned; via Sycamore Trust</w:t>
            </w:r>
          </w:p>
        </w:tc>
      </w:tr>
      <w:tr>
        <w:tc>
          <w:tcPr>
            <w:tcW w:type="dxa" w:w="1234"/>
          </w:tcPr>
          <w:p>
            <w:r>
              <w:rPr>
                <w:rFonts w:ascii="Calibri" w:hAnsi="Calibri"/>
                <w:sz w:val="22"/>
              </w:rPr>
              <w:t>Gebbia, Joseph</w:t>
            </w:r>
          </w:p>
        </w:tc>
        <w:tc>
          <w:tcPr>
            <w:tcW w:type="dxa" w:w="1234"/>
          </w:tcPr>
          <w:p>
            <w:r>
              <w:rPr>
                <w:rFonts w:ascii="Calibri" w:hAnsi="Calibri"/>
                <w:sz w:val="22"/>
              </w:rPr>
              <w:t>10% Owner, Director</w:t>
            </w:r>
          </w:p>
        </w:tc>
        <w:tc>
          <w:tcPr>
            <w:tcW w:type="dxa" w:w="1234"/>
          </w:tcPr>
          <w:p>
            <w:r>
              <w:rPr>
                <w:rFonts w:ascii="Calibri" w:hAnsi="Calibri"/>
                <w:sz w:val="22"/>
              </w:rPr>
              <w:t>10b5-1 Planned Sale</w:t>
            </w:r>
          </w:p>
        </w:tc>
        <w:tc>
          <w:tcPr>
            <w:tcW w:type="dxa" w:w="1234"/>
          </w:tcPr>
          <w:p>
            <w:r>
              <w:rPr>
                <w:rFonts w:ascii="Calibri" w:hAnsi="Calibri"/>
                <w:sz w:val="22"/>
              </w:rPr>
              <w:t>265,000</w:t>
            </w:r>
          </w:p>
        </w:tc>
        <w:tc>
          <w:tcPr>
            <w:tcW w:type="dxa" w:w="1234"/>
          </w:tcPr>
          <w:p>
            <w:r>
              <w:rPr>
                <w:rFonts w:ascii="Calibri" w:hAnsi="Calibri"/>
                <w:sz w:val="22"/>
              </w:rPr>
              <w:t>~$38M (est.)</w:t>
            </w:r>
          </w:p>
        </w:tc>
        <w:tc>
          <w:tcPr>
            <w:tcW w:type="dxa" w:w="1234"/>
          </w:tcPr>
          <w:p>
            <w:r>
              <w:rPr>
                <w:rFonts w:ascii="Calibri" w:hAnsi="Calibri"/>
                <w:sz w:val="22"/>
              </w:rPr>
              <w:t>Jul 13, 2026</w:t>
            </w:r>
          </w:p>
        </w:tc>
        <w:tc>
          <w:tcPr>
            <w:tcW w:type="dxa" w:w="1234"/>
          </w:tcPr>
          <w:p>
            <w:r>
              <w:rPr>
                <w:rFonts w:ascii="Calibri" w:hAnsi="Calibri"/>
                <w:sz w:val="22"/>
              </w:rPr>
              <w:t>Pre-planned; via Sycamore Trust</w:t>
            </w:r>
          </w:p>
        </w:tc>
      </w:tr>
      <w:tr>
        <w:tc>
          <w:tcPr>
            <w:tcW w:type="dxa" w:w="1234"/>
          </w:tcPr>
          <w:p>
            <w:r>
              <w:rPr>
                <w:rFonts w:ascii="Calibri" w:hAnsi="Calibri"/>
                <w:sz w:val="22"/>
              </w:rPr>
              <w:t>Gebbia, Joseph</w:t>
            </w:r>
          </w:p>
        </w:tc>
        <w:tc>
          <w:tcPr>
            <w:tcW w:type="dxa" w:w="1234"/>
          </w:tcPr>
          <w:p>
            <w:r>
              <w:rPr>
                <w:rFonts w:ascii="Calibri" w:hAnsi="Calibri"/>
                <w:sz w:val="22"/>
              </w:rPr>
              <w:t>10% Owner, Director</w:t>
            </w:r>
          </w:p>
        </w:tc>
        <w:tc>
          <w:tcPr>
            <w:tcW w:type="dxa" w:w="1234"/>
          </w:tcPr>
          <w:p>
            <w:r>
              <w:rPr>
                <w:rFonts w:ascii="Calibri" w:hAnsi="Calibri"/>
                <w:sz w:val="22"/>
              </w:rPr>
              <w:t>10b5-1 Planned Sale</w:t>
            </w:r>
          </w:p>
        </w:tc>
        <w:tc>
          <w:tcPr>
            <w:tcW w:type="dxa" w:w="1234"/>
          </w:tcPr>
          <w:p>
            <w:r>
              <w:rPr>
                <w:rFonts w:ascii="Calibri" w:hAnsi="Calibri"/>
                <w:sz w:val="22"/>
              </w:rPr>
              <w:t>236,601 (multiple txns)</w:t>
            </w:r>
          </w:p>
        </w:tc>
        <w:tc>
          <w:tcPr>
            <w:tcW w:type="dxa" w:w="1234"/>
          </w:tcPr>
          <w:p>
            <w:r>
              <w:rPr>
                <w:rFonts w:ascii="Calibri" w:hAnsi="Calibri"/>
                <w:sz w:val="22"/>
              </w:rPr>
              <w:t>~$34M (est.)</w:t>
            </w:r>
          </w:p>
        </w:tc>
        <w:tc>
          <w:tcPr>
            <w:tcW w:type="dxa" w:w="1234"/>
          </w:tcPr>
          <w:p>
            <w:r>
              <w:rPr>
                <w:rFonts w:ascii="Calibri" w:hAnsi="Calibri"/>
                <w:sz w:val="22"/>
              </w:rPr>
              <w:t>Jun–Jul 2026</w:t>
            </w:r>
          </w:p>
        </w:tc>
        <w:tc>
          <w:tcPr>
            <w:tcW w:type="dxa" w:w="1234"/>
          </w:tcPr>
          <w:p>
            <w:r>
              <w:rPr>
                <w:rFonts w:ascii="Calibri" w:hAnsi="Calibri"/>
                <w:sz w:val="22"/>
              </w:rPr>
              <w:t>Multiple pre-planned transactions; via Sycamore Trust</w:t>
            </w:r>
          </w:p>
        </w:tc>
      </w:tr>
      <w:tr>
        <w:tc>
          <w:tcPr>
            <w:tcW w:type="dxa" w:w="1234"/>
          </w:tcPr>
          <w:p>
            <w:r>
              <w:rPr>
                <w:rFonts w:ascii="Calibri" w:hAnsi="Calibri"/>
                <w:sz w:val="22"/>
              </w:rPr>
              <w:t>Blecharczyk, Nathan</w:t>
            </w:r>
          </w:p>
        </w:tc>
        <w:tc>
          <w:tcPr>
            <w:tcW w:type="dxa" w:w="1234"/>
          </w:tcPr>
          <w:p>
            <w:r>
              <w:rPr>
                <w:rFonts w:ascii="Calibri" w:hAnsi="Calibri"/>
                <w:sz w:val="22"/>
              </w:rPr>
              <w:t>Chief Strategy Officer, 10% Owner, Director</w:t>
            </w:r>
          </w:p>
        </w:tc>
        <w:tc>
          <w:tcPr>
            <w:tcW w:type="dxa" w:w="1234"/>
          </w:tcPr>
          <w:p>
            <w:r>
              <w:rPr>
                <w:rFonts w:ascii="Calibri" w:hAnsi="Calibri"/>
                <w:sz w:val="22"/>
              </w:rPr>
              <w:t>10b5-1 Planned Sale</w:t>
            </w:r>
          </w:p>
        </w:tc>
        <w:tc>
          <w:tcPr>
            <w:tcW w:type="dxa" w:w="1234"/>
          </w:tcPr>
          <w:p>
            <w:r>
              <w:rPr>
                <w:rFonts w:ascii="Calibri" w:hAnsi="Calibri"/>
                <w:sz w:val="22"/>
              </w:rPr>
              <w:t>~135,000 (multiple txns)</w:t>
            </w:r>
          </w:p>
        </w:tc>
        <w:tc>
          <w:tcPr>
            <w:tcW w:type="dxa" w:w="1234"/>
          </w:tcPr>
          <w:p>
            <w:r>
              <w:rPr>
                <w:rFonts w:ascii="Calibri" w:hAnsi="Calibri"/>
                <w:sz w:val="22"/>
              </w:rPr>
              <w:t>~$19M (est.)</w:t>
            </w:r>
          </w:p>
        </w:tc>
        <w:tc>
          <w:tcPr>
            <w:tcW w:type="dxa" w:w="1234"/>
          </w:tcPr>
          <w:p>
            <w:r>
              <w:rPr>
                <w:rFonts w:ascii="Calibri" w:hAnsi="Calibri"/>
                <w:sz w:val="22"/>
              </w:rPr>
              <w:t>May–Aug 2026</w:t>
            </w:r>
          </w:p>
        </w:tc>
        <w:tc>
          <w:tcPr>
            <w:tcW w:type="dxa" w:w="1234"/>
          </w:tcPr>
          <w:p>
            <w:r>
              <w:rPr>
                <w:rFonts w:ascii="Calibri" w:hAnsi="Calibri"/>
                <w:sz w:val="22"/>
              </w:rPr>
              <w:t>Regular cadence of pre-planned sales; via Trust</w:t>
            </w:r>
          </w:p>
        </w:tc>
      </w:tr>
      <w:tr>
        <w:tc>
          <w:tcPr>
            <w:tcW w:type="dxa" w:w="1234"/>
          </w:tcPr>
          <w:p>
            <w:r>
              <w:rPr>
                <w:rFonts w:ascii="Calibri" w:hAnsi="Calibri"/>
                <w:sz w:val="22"/>
              </w:rPr>
              <w:t>Chesky, Brian</w:t>
            </w:r>
          </w:p>
        </w:tc>
        <w:tc>
          <w:tcPr>
            <w:tcW w:type="dxa" w:w="1234"/>
          </w:tcPr>
          <w:p>
            <w:r>
              <w:rPr>
                <w:rFonts w:ascii="Calibri" w:hAnsi="Calibri"/>
                <w:sz w:val="22"/>
              </w:rPr>
              <w:t>CEO and Chairman, 10% Owner, Director</w:t>
            </w:r>
          </w:p>
        </w:tc>
        <w:tc>
          <w:tcPr>
            <w:tcW w:type="dxa" w:w="1234"/>
          </w:tcPr>
          <w:p>
            <w:r>
              <w:rPr>
                <w:rFonts w:ascii="Calibri" w:hAnsi="Calibri"/>
                <w:sz w:val="22"/>
              </w:rPr>
              <w:t>10b5-1 Planned Sale</w:t>
            </w:r>
          </w:p>
        </w:tc>
        <w:tc>
          <w:tcPr>
            <w:tcW w:type="dxa" w:w="1234"/>
          </w:tcPr>
          <w:p>
            <w:r>
              <w:rPr>
                <w:rFonts w:ascii="Calibri" w:hAnsi="Calibri"/>
                <w:sz w:val="22"/>
              </w:rPr>
              <w:t>~511,000 (multiple txns)</w:t>
            </w:r>
          </w:p>
        </w:tc>
        <w:tc>
          <w:tcPr>
            <w:tcW w:type="dxa" w:w="1234"/>
          </w:tcPr>
          <w:p>
            <w:r>
              <w:rPr>
                <w:rFonts w:ascii="Calibri" w:hAnsi="Calibri"/>
                <w:sz w:val="22"/>
              </w:rPr>
              <w:t>~$70M (est.)</w:t>
            </w:r>
          </w:p>
        </w:tc>
        <w:tc>
          <w:tcPr>
            <w:tcW w:type="dxa" w:w="1234"/>
          </w:tcPr>
          <w:p>
            <w:r>
              <w:rPr>
                <w:rFonts w:ascii="Calibri" w:hAnsi="Calibri"/>
                <w:sz w:val="22"/>
              </w:rPr>
              <w:t>May–Jun 2026</w:t>
            </w:r>
          </w:p>
        </w:tc>
        <w:tc>
          <w:tcPr>
            <w:tcW w:type="dxa" w:w="1234"/>
          </w:tcPr>
          <w:p>
            <w:r>
              <w:rPr>
                <w:rFonts w:ascii="Calibri" w:hAnsi="Calibri"/>
                <w:sz w:val="22"/>
              </w:rPr>
              <w:t>Pre-planned; direct ownership; last transaction Jun 15, 2026</w:t>
            </w:r>
          </w:p>
        </w:tc>
      </w:tr>
      <w:tr>
        <w:tc>
          <w:tcPr>
            <w:tcW w:type="dxa" w:w="1234"/>
          </w:tcPr>
          <w:p>
            <w:r>
              <w:rPr>
                <w:rFonts w:ascii="Calibri" w:hAnsi="Calibri"/>
                <w:sz w:val="22"/>
              </w:rPr>
              <w:t>Mertz, Elinor</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~14,931 (multiple txns)</w:t>
            </w:r>
          </w:p>
        </w:tc>
        <w:tc>
          <w:tcPr>
            <w:tcW w:type="dxa" w:w="1234"/>
          </w:tcPr>
          <w:p>
            <w:r>
              <w:rPr>
                <w:rFonts w:ascii="Calibri" w:hAnsi="Calibri"/>
                <w:sz w:val="22"/>
              </w:rPr>
              <w:t>~$2.1M (est.)</w:t>
            </w:r>
          </w:p>
        </w:tc>
        <w:tc>
          <w:tcPr>
            <w:tcW w:type="dxa" w:w="1234"/>
          </w:tcPr>
          <w:p>
            <w:r>
              <w:rPr>
                <w:rFonts w:ascii="Calibri" w:hAnsi="Calibri"/>
                <w:sz w:val="22"/>
              </w:rPr>
              <w:t>Jun–Aug 2026</w:t>
            </w:r>
          </w:p>
        </w:tc>
        <w:tc>
          <w:tcPr>
            <w:tcW w:type="dxa" w:w="1234"/>
          </w:tcPr>
          <w:p>
            <w:r>
              <w:rPr>
                <w:rFonts w:ascii="Calibri" w:hAnsi="Calibri"/>
                <w:sz w:val="22"/>
              </w:rPr>
              <w:t>Pre-planned; direct ownership; plan established May 30, 2025</w:t>
            </w:r>
          </w:p>
        </w:tc>
      </w:tr>
      <w:tr>
        <w:tc>
          <w:tcPr>
            <w:tcW w:type="dxa" w:w="1234"/>
          </w:tcPr>
          <w:p>
            <w:r>
              <w:rPr>
                <w:rFonts w:ascii="Calibri" w:hAnsi="Calibri"/>
                <w:sz w:val="22"/>
              </w:rPr>
              <w:t>Chenault, Kenneth I.</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8,346</w:t>
            </w:r>
          </w:p>
        </w:tc>
        <w:tc>
          <w:tcPr>
            <w:tcW w:type="dxa" w:w="1234"/>
          </w:tcPr>
          <w:p>
            <w:r>
              <w:rPr>
                <w:rFonts w:ascii="Calibri" w:hAnsi="Calibri"/>
                <w:sz w:val="22"/>
              </w:rPr>
              <w:t>~$1.2M (est.)</w:t>
            </w:r>
          </w:p>
        </w:tc>
        <w:tc>
          <w:tcPr>
            <w:tcW w:type="dxa" w:w="1234"/>
          </w:tcPr>
          <w:p>
            <w:r>
              <w:rPr>
                <w:rFonts w:ascii="Calibri" w:hAnsi="Calibri"/>
                <w:sz w:val="22"/>
              </w:rPr>
              <w:t>Jun 29, 2026</w:t>
            </w:r>
          </w:p>
        </w:tc>
        <w:tc>
          <w:tcPr>
            <w:tcW w:type="dxa" w:w="1234"/>
          </w:tcPr>
          <w:p>
            <w:r>
              <w:rPr>
                <w:rFonts w:ascii="Calibri" w:hAnsi="Calibri"/>
                <w:sz w:val="22"/>
              </w:rPr>
              <w:t>Pre-planned; direct ownership</w:t>
            </w:r>
          </w:p>
        </w:tc>
      </w:tr>
    </w:tbl>
    <w:p>
      <w:r>
        <w:rPr>
          <w:rFonts w:ascii="Calibri" w:hAnsi="Calibri"/>
          <w:i/>
          <w:color w:val="525866"/>
          <w:sz w:val="22"/>
        </w:rPr>
        <w:t>Source: SEC Form 4 Filings Database; SEC Form 144 Filings. All transactions flagged as 10b5-1 pre-planned sales. Approximate values estimated using transaction dates and prevailing stock prices. No open-market discretionary buys or sells were filed in the period.</w:t>
      </w:r>
    </w:p>
    <w:p>
      <w:r>
        <w:rPr>
          <w:rFonts w:ascii="Calibri" w:hAnsi="Calibri"/>
          <w:b/>
          <w:color w:val="525866"/>
          <w:sz w:val="22"/>
        </w:rPr>
        <w:t xml:space="preserve">Assessment: </w:t>
      </w:r>
      <w:r>
        <w:rPr>
          <w:rFonts w:ascii="Calibri" w:hAnsi="Calibri"/>
          <w:color w:val="525866"/>
          <w:sz w:val="22"/>
        </w:rPr>
        <w:t>The insider activity is dominated by Joseph Gebbia's large pre-planned dispositions (co-founder, no longer in an operating role), which are consistent with estate/liquidity planning rather than a view on near-term fundamentals. Brian Chesky's sales in May–June 2026 are also pre-planned and represent a small fraction of his ~10.7M share holding. Elinor Mertz's (CFO) sales are small and pre-planned (plan established May 30, 2025). No insider has made a discretionary open-market purchase or sale, and no unusual clustering of sales immediately ahead of the earnings date is evident beyond the regular 10b5-1 cadence.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