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profit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AS&amp;O / Crushing operating profit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w:r>
              <w:t xml:space="preserve">$430M AS&amp;O (Crush ~+$</w:t>
            </w:r>
            <w:r>
              <w:t xml:space="preserve">180M vs. Q1 -</w:t>
            </w:r>
            <m:oMath>
              <m:r>
                <m:t>79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390M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4.15</m:t>
              </m:r>
              <m:r>
                <m:rPr>
                  <m:sty m:val="p"/>
                </m:rPr>
                <m:t>−</m:t>
              </m:r>
            </m:oMath>
            <w:r>
              <w:t xml:space="preserve">4.70 (mid</w:t>
            </w:r>
            <w:r>
              <w:t xml:space="preserve"> </w:t>
            </w:r>
            <m:oMath>
              <m:r>
                <m:t>4.43</m:t>
              </m:r>
              <m:r>
                <m:rPr>
                  <m:sty m:val="p"/>
                </m:rPr>
                <m:t>)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outlook / crush margin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H2 ~51% split (~</w:t>
            </w:r>
            <m:oMath>
              <m:r>
                <m:t>2.25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2.35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Nutrition FY operating profit / 45Z benefit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45Z ~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100M, Nutrition FY up vs. cons ~flat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The Q2 beat is largely mechanical (~$0.45 of well-telegraphed mark-to-market reversal in Crushing) rather than a structural margin inflection. With shares +32% YTD, an ~11% pre-print fade signaling nervous positioning, and management likely maintaining (not raising) the</w:t>
            </w:r>
            <w:r>
              <w:t xml:space="preserve"> </w:t>
            </w:r>
            <m:oMath>
              <m:r>
                <m:t>4.15</m:t>
              </m:r>
              <m:r>
                <m:rPr>
                  <m:sty m:val="p"/>
                </m:rPr>
                <m:t>−</m:t>
              </m:r>
            </m:oMath>
            <w:r>
              <w:t xml:space="preserve">4.70 range while flagging an inverted forward crush curve, higher H2 tax rate, and uncertain China soybean flows, the out-period math implies a soft H2. A 'low-quality beat + no raise + cautious 2H' setup drives a sell-the-news reaction that follows through as estimates get trimmed on the second-half caution.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2026-08-04T00:27:04Z</dcterms:created>
  <dcterms:modified xsi:type="dcterms:W3CDTF">2026-08-04T00:27:04Z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