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ADM before writing the preview. Let me pull recent earnings materials, filings, news, and price data.Let me read the most recent earnings materials (Q1 2026 call and release) and the latest 10-Q, plus recent news.Let me get the year-ago Q2 2025 release (comp base), recent news context, and price action.Let me pull the most recent news and the COO announcement detail for context.# ADM (Archer-Daniels-Midland) — Q2 2026 Earnings Preview</w:t>
      </w:r>
    </w:p>
    <w:bookmarkStart w:id="9" w:name="Xff16e6d33188f0e6384d1d4c29f9856b8358efb"/>
    <w:p>
      <w:pPr>
        <w:pStyle w:val="Heading3"/>
      </w:pPr>
      <w:r>
        <w:t xml:space="preserve">Reporting Tuesday, August 4, 2026 (before market open) · 2026Q2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ADM heads into Q2 as a</w:t>
      </w:r>
      <w:r>
        <w:t xml:space="preserve"> </w:t>
      </w:r>
      <w:r>
        <w:rPr>
          <w:b/>
          <w:bCs/>
        </w:rPr>
        <w:t xml:space="preserve">"beat-and-raise" momentum story</w:t>
      </w:r>
      <w:r>
        <w:t xml:space="preserve"> </w:t>
      </w:r>
      <w:r>
        <w:t xml:space="preserve">that management has explicitly teed up as its swing quarter. Three months ago the company raised full-year adjusted EPS guidance to</w:t>
      </w:r>
      <w:r>
        <w:t xml:space="preserve"> </w:t>
      </w:r>
      <m:oMath>
        <m:r>
          <m:t>4.15</m:t>
        </m:r>
        <m:r>
          <m:rPr>
            <m:sty m:val="p"/>
          </m:rPr>
          <m:t>–</m:t>
        </m:r>
      </m:oMath>
      <w:r>
        <w:rPr>
          <w:b/>
          <w:bCs/>
        </w:rPr>
        <w:t xml:space="preserve">4.70</w:t>
      </w:r>
      <w:r>
        <w:t xml:space="preserve"> </w:t>
      </w:r>
      <w:r>
        <w:t xml:space="preserve">(from</w:t>
      </w:r>
      <w:r>
        <w:t xml:space="preserve"> </w:t>
      </w:r>
      <m:oMath>
        <m:r>
          <m:t>3.60</m:t>
        </m:r>
        <m:r>
          <m:rPr>
            <m:sty m:val="p"/>
          </m:rPr>
          <m:t>–</m:t>
        </m:r>
      </m:oMath>
      <w:r>
        <w:t xml:space="preserve">4.25) and told investors Q2 would be</w:t>
      </w:r>
      <w:r>
        <w:t xml:space="preserve"> </w:t>
      </w:r>
      <w:r>
        <w:rPr>
          <w:b/>
          <w:bCs/>
        </w:rPr>
        <w:t xml:space="preserve">meaningfully stronger than Q1</w:t>
      </w:r>
      <w:r>
        <w:t xml:space="preserve"> </w:t>
      </w:r>
      <w:r>
        <w:t xml:space="preserve">— driven by a large mark-to-market reversal, seasonal Nutrition strength, and sustained ethanol margins. The question isn't really</w:t>
      </w:r>
      <w:r>
        <w:t xml:space="preserve"> </w:t>
      </w:r>
      <w:r>
        <w:rPr>
          <w:i/>
          <w:iCs/>
        </w:rPr>
        <w:t xml:space="preserve">whether</w:t>
      </w:r>
      <w:r>
        <w:t xml:space="preserve"> </w:t>
      </w:r>
      <w:r>
        <w:t xml:space="preserve">Q2 is a big year-on-year growth quarter; it's whether the print is clean enough (and the second-half outlook constructive enough) to justify the stock's ~30% YTD run — and, critically, whether management</w:t>
      </w:r>
      <w:r>
        <w:t xml:space="preserve"> </w:t>
      </w:r>
      <w:r>
        <w:rPr>
          <w:b/>
          <w:bCs/>
        </w:rPr>
        <w:t xml:space="preserve">raises guidance again</w:t>
      </w:r>
      <w:r>
        <w:t xml:space="preserve">.</w:t>
      </w:r>
    </w:p>
    <w:p>
      <w:r>
        <w:pict>
          <v:rect style="width:0;height:1.5pt" o:hralign="center" o:hrstd="t" o:hr="t"/>
        </w:pict>
      </w:r>
    </w:p>
    <w:bookmarkEnd w:id="10"/>
    <w:bookmarkStart w:id="11" w:name="where-the-numbers-stand"/>
    <w:p>
      <w:pPr>
        <w:pStyle w:val="Heading2"/>
      </w:pPr>
      <w:r>
        <w:t xml:space="preserve">Where the numbers stand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Q1 2026 (last reported)</w:t>
            </w:r>
          </w:p>
        </w:tc>
        <w:tc>
          <w:tcPr/>
          <w:p>
            <w:pPr>
              <w:pStyle w:val="Compact"/>
            </w:pPr>
            <w:r>
              <w:t xml:space="preserve">Q2 2025 (year-ago comp)</w:t>
            </w:r>
          </w:p>
        </w:tc>
      </w:tr>
      <w:tr>
        <w:tc>
          <w:tcPr/>
          <w:p>
            <w:pPr>
              <w:pStyle w:val="Compact"/>
            </w:pPr>
            <w:r>
              <w:t xml:space="preserve">Adjusted EPS</w:t>
            </w:r>
          </w:p>
        </w:tc>
        <w:tc>
          <w:tcPr/>
          <w:p>
            <w:pPr>
              <w:pStyle w:val="Compact"/>
            </w:pPr>
            <w:r>
              <w:t xml:space="preserve">$0.71</w:t>
            </w:r>
          </w:p>
        </w:tc>
        <w:tc>
          <w:tcPr/>
          <w:p>
            <w:pPr>
              <w:pStyle w:val="Compact"/>
            </w:pPr>
            <w:r>
              <w:rPr>
                <w:b/>
                <w:bCs/>
              </w:rPr>
              <w:t xml:space="preserve">$0.93</w:t>
            </w:r>
          </w:p>
        </w:tc>
      </w:tr>
      <w:tr>
        <w:tc>
          <w:tcPr/>
          <w:p>
            <w:pPr>
              <w:pStyle w:val="Compact"/>
            </w:pPr>
            <w:r>
              <w:t xml:space="preserve">GAAP EPS</w:t>
            </w:r>
          </w:p>
        </w:tc>
        <w:tc>
          <w:tcPr/>
          <w:p>
            <w:pPr>
              <w:pStyle w:val="Compact"/>
            </w:pPr>
            <w:r>
              <w:t xml:space="preserve">$0.62</w:t>
            </w:r>
          </w:p>
        </w:tc>
        <w:tc>
          <w:tcPr/>
          <w:p>
            <w:pPr>
              <w:pStyle w:val="Compact"/>
            </w:pPr>
            <w:r>
              <w:t xml:space="preserve">$0.45</w:t>
            </w:r>
          </w:p>
        </w:tc>
      </w:tr>
      <w:tr>
        <w:tc>
          <w:tcPr/>
          <w:p>
            <w:pPr>
              <w:pStyle w:val="Compact"/>
            </w:pPr>
            <w:r>
              <w:t xml:space="preserve">Total segment operating profit</w:t>
            </w:r>
          </w:p>
        </w:tc>
        <w:tc>
          <w:tcPr/>
          <w:p>
            <w:pPr>
              <w:pStyle w:val="Compact"/>
            </w:pPr>
            <w:r>
              <w:t xml:space="preserve">$764M</w:t>
            </w:r>
          </w:p>
        </w:tc>
        <w:tc>
          <w:tcPr/>
          <w:p>
            <w:pPr>
              <w:pStyle w:val="Compact"/>
            </w:pPr>
            <w:r>
              <w:t xml:space="preserve">$830M</w:t>
            </w:r>
          </w:p>
        </w:tc>
      </w:tr>
      <w:tr>
        <w:tc>
          <w:tcPr/>
          <w:p>
            <w:pPr>
              <w:pStyle w:val="Compact"/>
            </w:pPr>
            <w:r>
              <w:t xml:space="preserve">AS&amp;O op. profit</w:t>
            </w:r>
          </w:p>
        </w:tc>
        <w:tc>
          <w:tcPr/>
          <w:p>
            <w:pPr>
              <w:pStyle w:val="Compact"/>
            </w:pPr>
            <w:r>
              <w:t xml:space="preserve">$273M</w:t>
            </w:r>
          </w:p>
        </w:tc>
        <w:tc>
          <w:tcPr/>
          <w:p>
            <w:pPr>
              <w:pStyle w:val="Compact"/>
            </w:pPr>
            <w:r>
              <w:t xml:space="preserve">$379M</w:t>
            </w:r>
          </w:p>
        </w:tc>
      </w:tr>
      <w:tr>
        <w:tc>
          <w:tcPr/>
          <w:p>
            <w:pPr>
              <w:pStyle w:val="Compact"/>
            </w:pPr>
            <w:r>
              <w:t xml:space="preserve">— Crushing</w:t>
            </w:r>
          </w:p>
        </w:tc>
        <w:tc>
          <w:tcPr/>
          <w:p>
            <w:pPr>
              <w:pStyle w:val="Compact"/>
            </w:pPr>
            <w:r>
              <w:rPr>
                <w:b/>
                <w:bCs/>
              </w:rPr>
              <w:t xml:space="preserve">($79M) loss</w:t>
            </w:r>
          </w:p>
        </w:tc>
        <w:tc>
          <w:tcPr/>
          <w:p>
            <w:pPr>
              <w:pStyle w:val="Compact"/>
            </w:pPr>
            <w:r>
              <w:t xml:space="preserve">$33M</w:t>
            </w:r>
          </w:p>
        </w:tc>
      </w:tr>
      <w:tr>
        <w:tc>
          <w:tcPr/>
          <w:p>
            <w:pPr>
              <w:pStyle w:val="Compact"/>
            </w:pPr>
            <w:r>
              <w:t xml:space="preserve">Carb Solutions op. profit</w:t>
            </w:r>
          </w:p>
        </w:tc>
        <w:tc>
          <w:tcPr/>
          <w:p>
            <w:pPr>
              <w:pStyle w:val="Compact"/>
            </w:pPr>
            <w:r>
              <w:t xml:space="preserve">$356M</w:t>
            </w:r>
          </w:p>
        </w:tc>
        <w:tc>
          <w:tcPr/>
          <w:p>
            <w:pPr>
              <w:pStyle w:val="Compact"/>
            </w:pPr>
            <w:r>
              <w:t xml:space="preserve">$337M</w:t>
            </w:r>
          </w:p>
        </w:tc>
      </w:tr>
      <w:tr>
        <w:tc>
          <w:tcPr/>
          <w:p>
            <w:pPr>
              <w:pStyle w:val="Compact"/>
            </w:pPr>
            <w:r>
              <w:t xml:space="preserve">— Vantage Corn Processors (ethanol)</w:t>
            </w:r>
          </w:p>
        </w:tc>
        <w:tc>
          <w:tcPr/>
          <w:p>
            <w:pPr>
              <w:pStyle w:val="Compact"/>
            </w:pPr>
            <w:r>
              <w:t xml:space="preserve">$127M</w:t>
            </w:r>
          </w:p>
        </w:tc>
        <w:tc>
          <w:tcPr/>
          <w:p>
            <w:pPr>
              <w:pStyle w:val="Compact"/>
            </w:pPr>
            <w:r>
              <w:t xml:space="preserve">$33M</w:t>
            </w:r>
          </w:p>
        </w:tc>
      </w:tr>
      <w:tr>
        <w:tc>
          <w:tcPr/>
          <w:p>
            <w:pPr>
              <w:pStyle w:val="Compact"/>
            </w:pPr>
            <w:r>
              <w:t xml:space="preserve">Nutrition op. profit</w:t>
            </w:r>
          </w:p>
        </w:tc>
        <w:tc>
          <w:tcPr/>
          <w:p>
            <w:pPr>
              <w:pStyle w:val="Compact"/>
            </w:pPr>
            <w:r>
              <w:t xml:space="preserve">$135M</w:t>
            </w:r>
          </w:p>
        </w:tc>
        <w:tc>
          <w:tcPr/>
          <w:p>
            <w:pPr>
              <w:pStyle w:val="Compact"/>
            </w:pPr>
            <w:r>
              <w:t xml:space="preserve">$114M</w:t>
            </w:r>
          </w:p>
        </w:tc>
      </w:tr>
    </w:tbl>
    <w:p>
      <w:pPr>
        <w:pStyle w:val="BodyText"/>
      </w:pPr>
      <w:r>
        <w:rPr>
          <w:b/>
          <w:bCs/>
        </w:rPr>
        <w:t xml:space="preserve">Guidance-implied math:</w:t>
      </w:r>
      <w:r>
        <w:t xml:space="preserve"> </w:t>
      </w:r>
      <w:r>
        <w:t xml:space="preserve">Management guided to a ~49%/51% first-half/second-half split. At the ~</w:t>
      </w:r>
      <m:oMath>
        <m:r>
          <m:t>4.43</m:t>
        </m:r>
        <m:r>
          <m:t>F</m:t>
        </m:r>
        <m:r>
          <m:t>Y</m:t>
        </m:r>
        <m:r>
          <m:t>m</m:t>
        </m:r>
        <m:r>
          <m:t>i</m:t>
        </m:r>
        <m:r>
          <m:t>d</m:t>
        </m:r>
        <m:r>
          <m:t>p</m:t>
        </m:r>
        <m:r>
          <m:t>o</m:t>
        </m:r>
        <m:r>
          <m:t>i</m:t>
        </m:r>
        <m:r>
          <m:t>n</m:t>
        </m:r>
        <m:r>
          <m:t>t</m:t>
        </m:r>
        <m:r>
          <m:rPr>
            <m:sty m:val="p"/>
          </m:rPr>
          <m:t>,</m:t>
        </m:r>
        <m:r>
          <m:t>t</m:t>
        </m:r>
        <m:r>
          <m:t>h</m:t>
        </m:r>
        <m:r>
          <m:t>a</m:t>
        </m:r>
        <m:r>
          <m:t>t</m:t>
        </m:r>
        <m:r>
          <m:t>i</m:t>
        </m:r>
        <m:r>
          <m:t>m</m:t>
        </m:r>
        <m:r>
          <m:t>p</m:t>
        </m:r>
        <m:r>
          <m:t>l</m:t>
        </m:r>
        <m:r>
          <m:t>i</m:t>
        </m:r>
        <m:r>
          <m:t>e</m:t>
        </m:r>
        <m:r>
          <m:t>s</m:t>
        </m:r>
        <m:r>
          <m:t>r</m:t>
        </m:r>
        <m:r>
          <m:t>o</m:t>
        </m:r>
        <m:r>
          <m:t>u</m:t>
        </m:r>
        <m:r>
          <m:t>g</m:t>
        </m:r>
        <m:r>
          <m:t>h</m:t>
        </m:r>
        <m:r>
          <m:t>l</m:t>
        </m:r>
        <m:r>
          <m:t>y</m:t>
        </m:r>
        <m:r>
          <m:rPr>
            <m:sty m:val="p"/>
          </m:rPr>
          <m:t>*</m:t>
        </m:r>
        <m:r>
          <m:rPr>
            <m:sty m:val="p"/>
          </m:rPr>
          <m:t>*</m:t>
        </m:r>
        <m:r>
          <m:t> </m:t>
        </m:r>
      </m:oMath>
      <w:r>
        <w:t xml:space="preserve">2.15–2.20 of H1 EPS**, and with Q1 already booked at</w:t>
      </w:r>
      <w:r>
        <w:t xml:space="preserve"> </w:t>
      </w:r>
      <m:oMath>
        <m:r>
          <m:t>0.71</m:t>
        </m:r>
        <m:r>
          <m:rPr>
            <m:sty m:val="p"/>
          </m:rPr>
          <m:t>,</m:t>
        </m:r>
        <m:r>
          <m:t>t</m:t>
        </m:r>
        <m:r>
          <m:t>h</m:t>
        </m:r>
        <m:r>
          <m:t>a</m:t>
        </m:r>
        <m:r>
          <m:t>t</m:t>
        </m:r>
        <m:r>
          <m:t>p</m:t>
        </m:r>
        <m:r>
          <m:t>o</m:t>
        </m:r>
        <m:r>
          <m:t>i</m:t>
        </m:r>
        <m:r>
          <m:t>n</m:t>
        </m:r>
        <m:r>
          <m:t>t</m:t>
        </m:r>
        <m:r>
          <m:t>s</m:t>
        </m:r>
        <m:r>
          <m:t>t</m:t>
        </m:r>
        <m:r>
          <m:t>o</m:t>
        </m:r>
        <m:r>
          <m:t>a</m:t>
        </m:r>
        <m:r>
          <m:rPr>
            <m:sty m:val="p"/>
          </m:rPr>
          <m:t>*</m:t>
        </m:r>
        <m:r>
          <m:rPr>
            <m:sty m:val="p"/>
          </m:rPr>
          <m:t>*</m:t>
        </m:r>
        <m:r>
          <m:t>Q</m:t>
        </m:r>
        <m:r>
          <m:t>2</m:t>
        </m:r>
        <m:r>
          <m:t>i</m:t>
        </m:r>
        <m:r>
          <m:t>n</m:t>
        </m:r>
        <m:r>
          <m:t>t</m:t>
        </m:r>
        <m:r>
          <m:t>h</m:t>
        </m:r>
        <m:r>
          <m:t>e</m:t>
        </m:r>
        <m:r>
          <m:t> </m:t>
        </m:r>
      </m:oMath>
      <w:r>
        <w:t xml:space="preserve">1.40+ range** — i.e., up ~50%+ versus the $0.93 year-ago comp. That is a high bar the company itself set, so the risk is as much about</w:t>
      </w:r>
      <w:r>
        <w:t xml:space="preserve"> </w:t>
      </w:r>
      <w:r>
        <w:rPr>
          <w:i/>
          <w:iCs/>
        </w:rPr>
        <w:t xml:space="preserve">quality of the beat</w:t>
      </w:r>
      <w:r>
        <w:t xml:space="preserve"> </w:t>
      </w:r>
      <w:r>
        <w:t xml:space="preserve">as the headline.</w:t>
      </w:r>
    </w:p>
    <w:p>
      <w:r>
        <w:pict>
          <v:rect style="width:0;height:1.5pt" o:hralign="center" o:hrstd="t" o:hr="t"/>
        </w:pict>
      </w:r>
    </w:p>
    <w:bookmarkEnd w:id="11"/>
    <w:bookmarkStart w:id="17" w:name="Xed46e563bc14ea4cef076ecd5e20b531b26d6f5"/>
    <w:p>
      <w:pPr>
        <w:pStyle w:val="Heading2"/>
      </w:pPr>
      <w:r>
        <w:t xml:space="preserve">The five things that actually matter this quarter</w:t>
      </w:r>
    </w:p>
    <w:bookmarkStart w:id="12" w:name="X0aba06d3e0e3e97e1b9949c55bd0d12434fc764"/>
    <w:p>
      <w:pPr>
        <w:pStyle w:val="Heading3"/>
      </w:pPr>
      <w:r>
        <w:t xml:space="preserve">1. The $275M mark-to-market reversal (the biggest swing factor)</w:t>
      </w:r>
    </w:p>
    <w:p>
      <w:pPr>
        <w:pStyle w:val="FirstParagraph"/>
      </w:pPr>
      <w:r>
        <w:t xml:space="preserve">Q1 carried</w:t>
      </w:r>
      <w:r>
        <w:t xml:space="preserve"> </w:t>
      </w:r>
      <w:r>
        <w:rPr>
          <w:b/>
          <w:bCs/>
        </w:rPr>
        <w:t xml:space="preserve">~</w:t>
      </w:r>
      <m:oMath>
        <m:r>
          <m:t>275</m:t>
        </m:r>
        <m:r>
          <m:t>M</m:t>
        </m:r>
        <m:r>
          <m:t>o</m:t>
        </m:r>
        <m:r>
          <m:t>f</m:t>
        </m:r>
        <m:r>
          <m:t>n</m:t>
        </m:r>
        <m:r>
          <m:t>e</m:t>
        </m:r>
        <m:r>
          <m:t>t</m:t>
        </m:r>
        <m:r>
          <m:t>n</m:t>
        </m:r>
        <m:r>
          <m:t>e</m:t>
        </m:r>
        <m:r>
          <m:t>g</m:t>
        </m:r>
        <m:r>
          <m:t>a</m:t>
        </m:r>
        <m:r>
          <m:t>t</m:t>
        </m:r>
        <m:r>
          <m:t>i</m:t>
        </m:r>
        <m:r>
          <m:t>v</m:t>
        </m:r>
        <m:r>
          <m:t>e</m:t>
        </m:r>
        <m:r>
          <m:t>m</m:t>
        </m:r>
        <m:r>
          <m:t>a</m:t>
        </m:r>
        <m:r>
          <m:t>r</m:t>
        </m:r>
        <m:r>
          <m:t>k</m:t>
        </m:r>
        <m:r>
          <m:rPr>
            <m:sty m:val="p"/>
          </m:rPr>
          <m:t>−</m:t>
        </m:r>
        <m:r>
          <m:t>t</m:t>
        </m:r>
        <m:r>
          <m:t>o</m:t>
        </m:r>
        <m:r>
          <m:rPr>
            <m:sty m:val="p"/>
          </m:rPr>
          <m:t>−</m:t>
        </m:r>
        <m:r>
          <m:t>m</m:t>
        </m:r>
        <m:r>
          <m:t>a</m:t>
        </m:r>
        <m:r>
          <m:t>r</m:t>
        </m:r>
        <m:r>
          <m:t>k</m:t>
        </m:r>
        <m:r>
          <m:t>e</m:t>
        </m:r>
        <m:r>
          <m:t>t</m:t>
        </m:r>
        <m:r>
          <m:rPr>
            <m:sty m:val="p"/>
          </m:rPr>
          <m:t>/</m:t>
        </m:r>
        <m:r>
          <m:t>t</m:t>
        </m:r>
        <m:r>
          <m:t>i</m:t>
        </m:r>
        <m:r>
          <m:t>m</m:t>
        </m:r>
        <m:r>
          <m:t>i</m:t>
        </m:r>
        <m:r>
          <m:t>n</m:t>
        </m:r>
        <m:r>
          <m:t>g</m:t>
        </m:r>
        <m:r>
          <m:t>i</m:t>
        </m:r>
        <m:r>
          <m:t>m</m:t>
        </m:r>
        <m:r>
          <m:t>p</m:t>
        </m:r>
        <m:r>
          <m:t>a</m:t>
        </m:r>
        <m:r>
          <m:t>c</m:t>
        </m:r>
        <m:r>
          <m:t>t</m:t>
        </m:r>
        <m:r>
          <m:t>s</m:t>
        </m:r>
        <m:r>
          <m:rPr>
            <m:sty m:val="p"/>
          </m:rPr>
          <m:t>*</m:t>
        </m:r>
        <m:r>
          <m:rPr>
            <m:sty m:val="p"/>
          </m:rPr>
          <m:t>*</m:t>
        </m:r>
        <m:r>
          <m:rPr>
            <m:sty m:val="p"/>
          </m:rPr>
          <m:t>(</m:t>
        </m:r>
        <m:r>
          <m:t> </m:t>
        </m:r>
        <m:r>
          <m:t>70</m:t>
        </m:r>
      </m:oMath>
      <w:r>
        <w:rPr>
          <w:b/>
          <w:bCs/>
        </w:rPr>
        <w:t xml:space="preserve">79M loss</w:t>
      </w:r>
      <w:r>
        <w:t xml:space="preserve">. Management said the</w:t>
      </w:r>
      <w:r>
        <w:t xml:space="preserve"> </w:t>
      </w:r>
      <w:r>
        <w:rPr>
          <w:b/>
          <w:bCs/>
        </w:rPr>
        <w:t xml:space="preserve">majority reverses in Q2</w:t>
      </w:r>
      <w:r>
        <w:t xml:space="preserve">, with the remainder in H2. This is worth roughly</w:t>
      </w:r>
      <w:r>
        <w:t xml:space="preserve"> </w:t>
      </w:r>
      <w:r>
        <w:rPr>
          <w:b/>
          <w:bCs/>
        </w:rPr>
        <w:t xml:space="preserve">~$0.45/share</w:t>
      </w:r>
      <w:r>
        <w:t xml:space="preserve"> </w:t>
      </w:r>
      <w:r>
        <w:t xml:space="preserve">and is the single largest reason Q2 should step up sharply. Watch for Crushing to swing from a Q1 loss back to a healthy profit — but scrutinize whether the</w:t>
      </w:r>
      <w:r>
        <w:t xml:space="preserve"> </w:t>
      </w:r>
      <w:r>
        <w:rPr>
          <w:i/>
          <w:iCs/>
        </w:rPr>
        <w:t xml:space="preserve">underlying</w:t>
      </w:r>
      <w:r>
        <w:t xml:space="preserve"> </w:t>
      </w:r>
      <w:r>
        <w:t xml:space="preserve">crush margin (ex-timing) is genuinely strengthening, not just a paper reversal.</w:t>
      </w:r>
    </w:p>
    <w:bookmarkEnd w:id="12"/>
    <w:bookmarkStart w:id="13" w:name="X7fc6f2c2ef66c8218acabb08fd06b5f7efea91d"/>
    <w:p>
      <w:pPr>
        <w:pStyle w:val="Heading3"/>
      </w:pPr>
      <w:r>
        <w:t xml:space="preserve">2. Biofuels policy tailwind → crush + ethanol</w:t>
      </w:r>
    </w:p>
    <w:p>
      <w:pPr>
        <w:pStyle w:val="FirstParagraph"/>
      </w:pPr>
      <w:r>
        <w:t xml:space="preserve">The whole thesis rests on the</w:t>
      </w:r>
      <w:r>
        <w:t xml:space="preserve"> </w:t>
      </w:r>
      <w:r>
        <w:rPr>
          <w:b/>
          <w:bCs/>
        </w:rPr>
        <w:t xml:space="preserve">finalized 2026/2027 RVOs (published March 2026)</w:t>
      </w:r>
      <w:r>
        <w:t xml:space="preserve">. Management said RINs jumped ~$1, which pulled soybean oil demand, lifted crush margins and drove North American crush rates ~10% above prior year in March. Also key:</w:t>
      </w:r>
    </w:p>
    <w:p>
      <w:pPr>
        <w:pStyle w:val="Compact"/>
        <w:numPr>
          <w:ilvl w:val="0"/>
          <w:numId w:val="1001"/>
        </w:numPr>
      </w:pPr>
      <w:r>
        <w:rPr>
          <w:b/>
          <w:bCs/>
        </w:rPr>
        <w:t xml:space="preserve">45Z clean fuel credit</w:t>
      </w:r>
      <w:r>
        <w:t xml:space="preserve"> </w:t>
      </w:r>
      <w:r>
        <w:t xml:space="preserve">now expected to add **~</w:t>
      </w:r>
      <m:oMath>
        <m:r>
          <m:t>150</m:t>
        </m:r>
        <m:r>
          <m:t>M</m:t>
        </m:r>
        <m:r>
          <m:t>f</m:t>
        </m:r>
        <m:r>
          <m:t>o</m:t>
        </m:r>
        <m:r>
          <m:t>r</m:t>
        </m:r>
        <m:r>
          <m:t>F</m:t>
        </m:r>
        <m:r>
          <m:t>Y</m:t>
        </m:r>
        <m:r>
          <m:t>2026</m:t>
        </m:r>
        <m:r>
          <m:rPr>
            <m:sty m:val="p"/>
          </m:rPr>
          <m:t>*</m:t>
        </m:r>
        <m:r>
          <m:rPr>
            <m:sty m:val="p"/>
          </m:rPr>
          <m:t>*</m:t>
        </m:r>
        <m:r>
          <m:rPr>
            <m:sty m:val="p"/>
          </m:rPr>
          <m:t>(</m:t>
        </m:r>
        <m:r>
          <m:t>r</m:t>
        </m:r>
        <m:r>
          <m:t>a</m:t>
        </m:r>
        <m:r>
          <m:t>i</m:t>
        </m:r>
        <m:r>
          <m:t>s</m:t>
        </m:r>
        <m:r>
          <m:t>e</m:t>
        </m:r>
        <m:r>
          <m:t>d</m:t>
        </m:r>
        <m:r>
          <m:t>f</m:t>
        </m:r>
        <m:r>
          <m:t>r</m:t>
        </m:r>
        <m:r>
          <m:t>o</m:t>
        </m:r>
        <m:r>
          <m:t>m</m:t>
        </m:r>
        <m:r>
          <m:t> </m:t>
        </m:r>
      </m:oMath>
      <w:r>
        <w:t xml:space="preserve">100M) — booked in segment income.</w:t>
      </w:r>
    </w:p>
    <w:p>
      <w:pPr>
        <w:pStyle w:val="Compact"/>
        <w:numPr>
          <w:ilvl w:val="0"/>
          <w:numId w:val="1001"/>
        </w:numPr>
      </w:pPr>
      <w:r>
        <w:rPr>
          <w:b/>
          <w:bCs/>
        </w:rPr>
        <w:t xml:space="preserve">Ethanol</w:t>
      </w:r>
      <w:r>
        <w:t xml:space="preserve"> </w:t>
      </w:r>
      <w:r>
        <w:t xml:space="preserve">was the standout in Q1 (VCP nearly 4x'd YoY to $127M) on strong domestic demand and ~10% YoY export growth. Watch whether</w:t>
      </w:r>
      <w:r>
        <w:t xml:space="preserve"> </w:t>
      </w:r>
      <m:oMath>
        <m:r>
          <m:t>2</m:t>
        </m:r>
        <m:r>
          <m:rPr>
            <m:sty m:val="p"/>
          </m:rPr>
          <m:t>/</m:t>
        </m:r>
        <m:r>
          <m:t>g</m:t>
        </m:r>
        <m:r>
          <m:t>a</m:t>
        </m:r>
        <m:r>
          <m:t>l</m:t>
        </m:r>
        <m:r>
          <m:t>e</m:t>
        </m:r>
        <m:r>
          <m:t>t</m:t>
        </m:r>
        <m:r>
          <m:t>h</m:t>
        </m:r>
        <m:r>
          <m:t>a</m:t>
        </m:r>
        <m:r>
          <m:t>n</m:t>
        </m:r>
        <m:r>
          <m:t>o</m:t>
        </m:r>
        <m:sSup>
          <m:e>
            <m:r>
              <m:t>l</m:t>
            </m:r>
          </m:e>
          <m:sup>
            <m:r>
              <m:rPr>
                <m:sty m:val="p"/>
              </m:rPr>
              <m:t>′</m:t>
            </m:r>
          </m:sup>
        </m:sSup>
        <m:r>
          <m:t>s</m:t>
        </m:r>
        <m:r>
          <m:t>c</m:t>
        </m:r>
        <m:r>
          <m:t>o</m:t>
        </m:r>
        <m:r>
          <m:t>m</m:t>
        </m:r>
        <m:r>
          <m:t>p</m:t>
        </m:r>
        <m:r>
          <m:t>e</m:t>
        </m:r>
        <m:r>
          <m:t>t</m:t>
        </m:r>
        <m:r>
          <m:t>i</m:t>
        </m:r>
        <m:r>
          <m:t>t</m:t>
        </m:r>
        <m:r>
          <m:t>i</m:t>
        </m:r>
        <m:r>
          <m:t>v</m:t>
        </m:r>
        <m:r>
          <m:t>e</m:t>
        </m:r>
        <m:r>
          <m:t>n</m:t>
        </m:r>
        <m:r>
          <m:t>e</m:t>
        </m:r>
        <m:r>
          <m:t>s</m:t>
        </m:r>
        <m:r>
          <m:t>s</m:t>
        </m:r>
        <m:r>
          <m:t>v</m:t>
        </m:r>
        <m:r>
          <m:t>s</m:t>
        </m:r>
        <m:r>
          <m:rPr>
            <m:sty m:val="p"/>
          </m:rPr>
          <m:t>.</m:t>
        </m:r>
        <m:r>
          <m:rPr>
            <m:sty m:val="p"/>
          </m:rPr>
          <m:t>&gt;</m:t>
        </m:r>
      </m:oMath>
      <w:r>
        <w:t xml:space="preserve">3.50 RBOB keeps export/blend economics strong through driving season.</w:t>
      </w:r>
    </w:p>
    <w:bookmarkEnd w:id="13"/>
    <w:bookmarkStart w:id="14" w:name="X301cdb9b2d18028b43e7b2bc2dfe22ce564c16a"/>
    <w:p>
      <w:pPr>
        <w:pStyle w:val="Heading3"/>
      </w:pPr>
      <w:r>
        <w:t xml:space="preserve">3. Nutrition's seasonal step-up</w:t>
      </w:r>
    </w:p>
    <w:p>
      <w:pPr>
        <w:pStyle w:val="FirstParagraph"/>
      </w:pPr>
      <w:r>
        <w:t xml:space="preserve">Q2 is seasonally Nutrition's strongest quarter (Flavors). Q1 already showed a 42% YoY jump in segment profit. Look for continued momentum from:</w:t>
      </w:r>
      <w:r>
        <w:t xml:space="preserve"> </w:t>
      </w:r>
      <w:r>
        <w:rPr>
          <w:b/>
          <w:bCs/>
        </w:rPr>
        <w:t xml:space="preserve">Flavors</w:t>
      </w:r>
      <w:r>
        <w:t xml:space="preserve">, the</w:t>
      </w:r>
      <w:r>
        <w:t xml:space="preserve"> </w:t>
      </w:r>
      <w:r>
        <w:rPr>
          <w:b/>
          <w:bCs/>
        </w:rPr>
        <w:t xml:space="preserve">Decatur East plant recovery</w:t>
      </w:r>
      <w:r>
        <w:t xml:space="preserve"> </w:t>
      </w:r>
      <w:r>
        <w:t xml:space="preserve">(management admits it hasn't fully recovered lost volume/customers yet — a swing factor), the</w:t>
      </w:r>
      <w:r>
        <w:t xml:space="preserve"> </w:t>
      </w:r>
      <w:r>
        <w:rPr>
          <w:b/>
          <w:bCs/>
        </w:rPr>
        <w:t xml:space="preserve">natural colors &amp; flavors</w:t>
      </w:r>
      <w:r>
        <w:t xml:space="preserve"> </w:t>
      </w:r>
      <w:r>
        <w:t xml:space="preserve">shift, and improving</w:t>
      </w:r>
      <w:r>
        <w:t xml:space="preserve"> </w:t>
      </w:r>
      <w:r>
        <w:rPr>
          <w:b/>
          <w:bCs/>
        </w:rPr>
        <w:t xml:space="preserve">Animal Nutrition</w:t>
      </w:r>
      <w:r>
        <w:t xml:space="preserve"> </w:t>
      </w:r>
      <w:r>
        <w:t xml:space="preserve">margins. This is the segment where ADM has the most self-help visibility.</w:t>
      </w:r>
    </w:p>
    <w:bookmarkEnd w:id="14"/>
    <w:bookmarkStart w:id="15" w:name="X4db6d8d9e89ef4710d00799d9f74685b127076e"/>
    <w:p>
      <w:pPr>
        <w:pStyle w:val="Heading3"/>
      </w:pPr>
      <w:r>
        <w:t xml:space="preserve">4. China / trade / the second-half assumption</w:t>
      </w:r>
    </w:p>
    <w:p>
      <w:pPr>
        <w:pStyle w:val="FirstParagraph"/>
      </w:pPr>
      <w:r>
        <w:t xml:space="preserve">Guidance assumes</w:t>
      </w:r>
      <w:r>
        <w:t xml:space="preserve"> </w:t>
      </w:r>
      <w:r>
        <w:rPr>
          <w:b/>
          <w:bCs/>
        </w:rPr>
        <w:t xml:space="preserve">China resumes normalized North American soybean buying</w:t>
      </w:r>
      <w:r>
        <w:t xml:space="preserve"> </w:t>
      </w:r>
      <w:r>
        <w:t xml:space="preserve">and that biofuel/trade conditions stay constructive. This is the softest assumption in the model. Any commentary on China purchase cadence into Q4, tariffs, or the inverted soy crush curve (which management flagged as signaling H2 uncertainty) will move the stock as much as the Q2 print.</w:t>
      </w:r>
    </w:p>
    <w:bookmarkEnd w:id="15"/>
    <w:bookmarkStart w:id="16" w:name="X2548eb9903395e9ba95657c20712b8908696b16"/>
    <w:p>
      <w:pPr>
        <w:pStyle w:val="Heading3"/>
      </w:pPr>
      <w:r>
        <w:t xml:space="preserve">5. Does the guide go up again?</w:t>
      </w:r>
    </w:p>
    <w:p>
      <w:pPr>
        <w:pStyle w:val="FirstParagraph"/>
      </w:pPr>
      <w:r>
        <w:t xml:space="preserve">Management framed Q2 as "a very important quarter." A clean beat plus continued biofuels strength would set up another raise; conversely, they were deliberately conservative on the H2 split citing an inverted forward curve, a higher H2 tax rate, and planned reinvestment in R&amp;D/digitization.</w:t>
      </w:r>
      <w:r>
        <w:t xml:space="preserve"> </w:t>
      </w:r>
      <w:r>
        <w:rPr>
          <w:b/>
          <w:bCs/>
        </w:rPr>
        <w:t xml:space="preserve">The guidance revision is the primary catalyst.</w:t>
      </w:r>
    </w:p>
    <w:p>
      <w:r>
        <w:pict>
          <v:rect style="width:0;height:1.5pt" o:hralign="center" o:hrstd="t" o:hr="t"/>
        </w:pict>
      </w:r>
    </w:p>
    <w:bookmarkEnd w:id="16"/>
    <w:bookmarkEnd w:id="17"/>
    <w:bookmarkStart w:id="18" w:name="other-watch-items"/>
    <w:p>
      <w:pPr>
        <w:pStyle w:val="Heading2"/>
      </w:pPr>
      <w:r>
        <w:t xml:space="preserve">Other watch items</w:t>
      </w:r>
    </w:p>
    <w:p>
      <w:pPr>
        <w:pStyle w:val="Compact"/>
        <w:numPr>
          <w:ilvl w:val="0"/>
          <w:numId w:val="1002"/>
        </w:numPr>
      </w:pPr>
      <w:r>
        <w:rPr>
          <w:b/>
          <w:bCs/>
        </w:rPr>
        <w:t xml:space="preserve">New COO:</w:t>
      </w:r>
      <w:r>
        <w:t xml:space="preserve"> </w:t>
      </w:r>
      <w:r>
        <w:t xml:space="preserve">ADM named</w:t>
      </w:r>
      <w:r>
        <w:t xml:space="preserve"> </w:t>
      </w:r>
      <w:r>
        <w:rPr>
          <w:b/>
          <w:bCs/>
        </w:rPr>
        <w:t xml:space="preserve">Jeff Rowe</w:t>
      </w:r>
      <w:r>
        <w:t xml:space="preserve"> </w:t>
      </w:r>
      <w:r>
        <w:t xml:space="preserve">(outgoing Syngenta Group CEO, ex-DuPont Pioneer) as EVP &amp; COO, effective</w:t>
      </w:r>
      <w:r>
        <w:t xml:space="preserve"> </w:t>
      </w:r>
      <w:r>
        <w:rPr>
          <w:b/>
          <w:bCs/>
        </w:rPr>
        <w:t xml:space="preserve">Aug 17, 2026</w:t>
      </w:r>
      <w:r>
        <w:t xml:space="preserve"> </w:t>
      </w:r>
      <w:r>
        <w:t xml:space="preserve">— a notable external hire to run commercial, manufacturing and R&amp;D. Expect questions on strategy/execution implications.</w:t>
      </w:r>
    </w:p>
    <w:p>
      <w:pPr>
        <w:pStyle w:val="Compact"/>
        <w:numPr>
          <w:ilvl w:val="0"/>
          <w:numId w:val="1002"/>
        </w:numPr>
      </w:pPr>
      <w:r>
        <w:rPr>
          <w:b/>
          <w:bCs/>
        </w:rPr>
        <w:t xml:space="preserve">Capital allocation / buyback:</w:t>
      </w:r>
      <w:r>
        <w:t xml:space="preserve"> </w:t>
      </w:r>
      <w:r>
        <w:t xml:space="preserve">Net leverage was 2.2x at Q1 (targeting ~2x by year-end); CapEx guide unchanged at $1.3–1.5B. Management said buybacks are "not out of the question" as cash flow improves — a potential positive surprise given no repurchases in H1 2025.</w:t>
      </w:r>
    </w:p>
    <w:p>
      <w:pPr>
        <w:pStyle w:val="Compact"/>
        <w:numPr>
          <w:ilvl w:val="0"/>
          <w:numId w:val="1002"/>
        </w:numPr>
      </w:pPr>
      <w:r>
        <w:rPr>
          <w:b/>
          <w:bCs/>
        </w:rPr>
        <w:t xml:space="preserve">Cost program:</w:t>
      </w:r>
      <w:r>
        <w:t xml:space="preserve"> </w:t>
      </w:r>
      <w:r>
        <w:t xml:space="preserve">On track for the</w:t>
      </w:r>
      <w:r>
        <w:t xml:space="preserve"> </w:t>
      </w:r>
      <m:oMath>
        <m:r>
          <m:t>500</m:t>
        </m:r>
        <m:r>
          <m:t>M</m:t>
        </m:r>
        <m:r>
          <m:rPr>
            <m:sty m:val="p"/>
          </m:rPr>
          <m:t>–</m:t>
        </m:r>
      </m:oMath>
      <w:r>
        <w:t xml:space="preserve">750M savings target (3–5 yr, started 2025); manufacturing throughput/uptime improvements are a recurring theme.</w:t>
      </w:r>
    </w:p>
    <w:p>
      <w:pPr>
        <w:pStyle w:val="Compact"/>
        <w:numPr>
          <w:ilvl w:val="0"/>
          <w:numId w:val="1002"/>
        </w:numPr>
      </w:pPr>
      <w:r>
        <w:rPr>
          <w:b/>
          <w:bCs/>
        </w:rPr>
        <w:t xml:space="preserve">Dividend:</w:t>
      </w:r>
      <w:r>
        <w:t xml:space="preserve"> </w:t>
      </w:r>
      <w:r>
        <w:t xml:space="preserve">Q1 marked the</w:t>
      </w:r>
      <w:r>
        <w:t xml:space="preserve"> </w:t>
      </w:r>
      <w:r>
        <w:rPr>
          <w:b/>
          <w:bCs/>
        </w:rPr>
        <w:t xml:space="preserve">377th consecutive quarterly dividend</w:t>
      </w:r>
      <w:r>
        <w:t xml:space="preserve"> </w:t>
      </w:r>
      <w:r>
        <w:t xml:space="preserve">— a core part of the ADM shareholder pitch.</w:t>
      </w:r>
    </w:p>
    <w:p>
      <w:pPr>
        <w:pStyle w:val="Compact"/>
        <w:numPr>
          <w:ilvl w:val="0"/>
          <w:numId w:val="1002"/>
        </w:numPr>
      </w:pPr>
      <w:r>
        <w:rPr>
          <w:b/>
          <w:bCs/>
        </w:rPr>
        <w:t xml:space="preserve">Legacy overhang:</w:t>
      </w:r>
      <w:r>
        <w:t xml:space="preserve"> </w:t>
      </w:r>
      <w:r>
        <w:t xml:space="preserve">The previously disclosed SEC/DOJ accounting investigations and the prior segment-reporting material weakness (remediated in Q2 2025) remain background risks to monitor for updates.</w:t>
      </w:r>
    </w:p>
    <w:p>
      <w:r>
        <w:pict>
          <v:rect style="width:0;height:1.5pt" o:hralign="center" o:hrstd="t" o:hr="t"/>
        </w:pict>
      </w:r>
    </w:p>
    <w:bookmarkEnd w:id="18"/>
    <w:bookmarkStart w:id="19" w:name="X29dce9f6d1200690bb3f63d981c11d76d386781"/>
    <w:p>
      <w:pPr>
        <w:pStyle w:val="Heading2"/>
      </w:pPr>
      <w:r>
        <w:t xml:space="preserve">Stock context: momentum, then a pre-print fade</w:t>
      </w:r>
    </w:p>
    <w:p>
      <w:pPr>
        <w:pStyle w:val="FirstParagraph"/>
      </w:pPr>
      <w:r>
        <w:t xml:space="preserve">ADM has been a strong performer in 2026 — from ~</w:t>
      </w:r>
      <m:oMath>
        <m:r>
          <m:t>59</m:t>
        </m:r>
        <m:r>
          <m:t>i</m:t>
        </m:r>
        <m:r>
          <m:t>n</m:t>
        </m:r>
        <m:r>
          <m:t>e</m:t>
        </m:r>
        <m:r>
          <m:t>a</m:t>
        </m:r>
        <m:r>
          <m:t>r</m:t>
        </m:r>
        <m:r>
          <m:t>l</m:t>
        </m:r>
        <m:r>
          <m:t>y</m:t>
        </m:r>
        <m:r>
          <m:t>J</m:t>
        </m:r>
        <m:r>
          <m:t>a</m:t>
        </m:r>
        <m:r>
          <m:t>n</m:t>
        </m:r>
        <m:r>
          <m:t>u</m:t>
        </m:r>
        <m:r>
          <m:t>a</m:t>
        </m:r>
        <m:r>
          <m:t>r</m:t>
        </m:r>
        <m:r>
          <m:t>y</m:t>
        </m:r>
        <m:r>
          <m:t>t</m:t>
        </m:r>
        <m:r>
          <m:t>o</m:t>
        </m:r>
        <m:r>
          <m:t>a</m:t>
        </m:r>
        <m:r>
          <m:rPr>
            <m:sty m:val="p"/>
          </m:rPr>
          <m:t>*</m:t>
        </m:r>
        <m:r>
          <m:rPr>
            <m:sty m:val="p"/>
          </m:rPr>
          <m:t>*</m:t>
        </m:r>
        <m:r>
          <m:t>p</m:t>
        </m:r>
        <m:r>
          <m:t>e</m:t>
        </m:r>
        <m:r>
          <m:t>a</m:t>
        </m:r>
        <m:r>
          <m:t>k</m:t>
        </m:r>
        <m:r>
          <m:t>o</m:t>
        </m:r>
        <m:r>
          <m:t>f</m:t>
        </m:r>
        <m:r>
          <m:t> </m:t>
        </m:r>
      </m:oMath>
      <w:r>
        <w:t xml:space="preserve">87 on July 22** (roughly +48%), largely on biofuels policy clarity and the Q1 beat-and-raise (shares jumped on the May 5 report). But the stock has</w:t>
      </w:r>
      <w:r>
        <w:t xml:space="preserve"> </w:t>
      </w:r>
      <w:r>
        <w:rPr>
          <w:b/>
          <w:bCs/>
        </w:rPr>
        <w:t xml:space="preserve">pulled back ~11% into the print</w:t>
      </w:r>
      <w:r>
        <w:t xml:space="preserve">, from</w:t>
      </w:r>
      <w:r>
        <w:t xml:space="preserve"> </w:t>
      </w:r>
      <m:oMath>
        <m:r>
          <m:t>87.32</m:t>
        </m:r>
        <m:r>
          <m:rPr>
            <m:sty m:val="p"/>
          </m:rPr>
          <m:t>(</m:t>
        </m:r>
        <m:r>
          <m:t>J</m:t>
        </m:r>
        <m:r>
          <m:t>u</m:t>
        </m:r>
        <m:r>
          <m:t>l</m:t>
        </m:r>
        <m:r>
          <m:t>22</m:t>
        </m:r>
        <m:r>
          <m:rPr>
            <m:sty m:val="p"/>
          </m:rPr>
          <m:t>)</m:t>
        </m:r>
        <m:r>
          <m:t>t</m:t>
        </m:r>
        <m:r>
          <m:t>o</m:t>
        </m:r>
        <m:r>
          <m:rPr>
            <m:sty m:val="p"/>
          </m:rPr>
          <m:t>*</m:t>
        </m:r>
        <m:r>
          <m:rPr>
            <m:sty m:val="p"/>
          </m:rPr>
          <m:t>*</m:t>
        </m:r>
      </m:oMath>
      <w:r>
        <w:t xml:space="preserve">78.08 (Aug 3)**, even after running up around the COO announcement. Net-net it's still **+~32% YTD**.</w:t>
      </w:r>
    </w:p>
    <w:p>
      <w:pPr>
        <w:pStyle w:val="BodyText"/>
      </w:pPr>
      <w:r>
        <w:rPr>
          <w:b/>
          <w:bCs/>
        </w:rPr>
        <w:t xml:space="preserve">What this means for the reaction:</w:t>
      </w:r>
      <w:r>
        <w:t xml:space="preserve"> </w:t>
      </w:r>
      <w:r>
        <w:t xml:space="preserve">the recent fade takes some froth out and lowers the setup risk slightly, but expectations remain elevated after the guidance raise. The bar is a strong YoY Q2</w:t>
      </w:r>
      <w:r>
        <w:t xml:space="preserve"> </w:t>
      </w:r>
      <w:r>
        <w:rPr>
          <w:i/>
          <w:iCs/>
        </w:rPr>
        <w:t xml:space="preserve">and</w:t>
      </w:r>
      <w:r>
        <w:t xml:space="preserve"> </w:t>
      </w:r>
      <w:r>
        <w:t xml:space="preserve">an intact/raised second-half outlook.</w:t>
      </w:r>
    </w:p>
    <w:p>
      <w:r>
        <w:pict>
          <v:rect style="width:0;height:1.5pt" o:hralign="center" o:hrstd="t" o:hr="t"/>
        </w:pict>
      </w:r>
    </w:p>
    <w:bookmarkEnd w:id="19"/>
    <w:bookmarkStart w:id="20" w:name="bull-vs-bear-into-the-print"/>
    <w:p>
      <w:pPr>
        <w:pStyle w:val="Heading2"/>
      </w:pPr>
      <w:r>
        <w:t xml:space="preserve">Bull vs. bear into the print</w:t>
      </w:r>
    </w:p>
    <w:p>
      <w:pPr>
        <w:pStyle w:val="FirstParagraph"/>
      </w:pPr>
      <w:r>
        <w:rPr>
          <w:b/>
          <w:bCs/>
        </w:rPr>
        <w:t xml:space="preserve">Bull case</w:t>
      </w:r>
    </w:p>
    <w:p>
      <w:pPr>
        <w:pStyle w:val="Compact"/>
        <w:numPr>
          <w:ilvl w:val="0"/>
          <w:numId w:val="1003"/>
        </w:numPr>
      </w:pPr>
      <w:r>
        <w:t xml:space="preserve">Big, guidance-consistent Q2 (~$1.40+) as the $275M timing hit reverses and crush margins genuinely inflect higher.</w:t>
      </w:r>
    </w:p>
    <w:p>
      <w:pPr>
        <w:pStyle w:val="Compact"/>
        <w:numPr>
          <w:ilvl w:val="0"/>
          <w:numId w:val="1003"/>
        </w:numPr>
      </w:pPr>
      <w:r>
        <w:t xml:space="preserve">Ethanol strength + 45Z ($150M) + RVO demand persist; another guidance raise.</w:t>
      </w:r>
    </w:p>
    <w:p>
      <w:pPr>
        <w:pStyle w:val="Compact"/>
        <w:numPr>
          <w:ilvl w:val="0"/>
          <w:numId w:val="1003"/>
        </w:numPr>
      </w:pPr>
      <w:r>
        <w:t xml:space="preserve">Nutrition seasonal peak with Decatur East recovery accelerating; potential buyback signal.</w:t>
      </w:r>
    </w:p>
    <w:p>
      <w:pPr>
        <w:pStyle w:val="FirstParagraph"/>
      </w:pPr>
      <w:r>
        <w:rPr>
          <w:b/>
          <w:bCs/>
        </w:rPr>
        <w:t xml:space="preserve">Bear case</w:t>
      </w:r>
    </w:p>
    <w:p>
      <w:pPr>
        <w:pStyle w:val="Compact"/>
        <w:numPr>
          <w:ilvl w:val="0"/>
          <w:numId w:val="1004"/>
        </w:numPr>
      </w:pPr>
      <w:r>
        <w:t xml:space="preserve">Beat is "low quality" — mostly mark-to-market reversal, with soft underlying S&amp;S volumes/margins and cost pressure (energy/chemicals) at corn plants persisting.</w:t>
      </w:r>
    </w:p>
    <w:p>
      <w:pPr>
        <w:pStyle w:val="Compact"/>
        <w:numPr>
          <w:ilvl w:val="0"/>
          <w:numId w:val="1004"/>
        </w:numPr>
      </w:pPr>
      <w:r>
        <w:t xml:space="preserve">Cautious H2 commentary: inverted forward crush curve, uncertain China soybean flows, higher H2 tax rate — no raise despite a Q2 beat, which the market could read as a peak.</w:t>
      </w:r>
    </w:p>
    <w:p>
      <w:pPr>
        <w:pStyle w:val="Compact"/>
        <w:numPr>
          <w:ilvl w:val="0"/>
          <w:numId w:val="1004"/>
        </w:numPr>
      </w:pPr>
      <w:r>
        <w:t xml:space="preserve">Elevated valuation after a 30%+ YTD move leaves little room for any China/trade disappointment.</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Q2 2026 should be a</w:t>
      </w:r>
      <w:r>
        <w:t xml:space="preserve"> </w:t>
      </w:r>
      <w:r>
        <w:rPr>
          <w:b/>
          <w:bCs/>
        </w:rPr>
        <w:t xml:space="preserve">strong year-on-year growth quarter by design</w:t>
      </w:r>
      <w:r>
        <w:t xml:space="preserve"> </w:t>
      </w:r>
      <w:r>
        <w:t xml:space="preserve">— the mark-to-market reversal alone nearly guarantees a big sequential and YoY jump off the $0.71 Q1 base and the $0.93 year-ago comp. The real signal for investors is in the details: (1) is the</w:t>
      </w:r>
      <w:r>
        <w:t xml:space="preserve"> </w:t>
      </w:r>
      <w:r>
        <w:rPr>
          <w:b/>
          <w:bCs/>
        </w:rPr>
        <w:t xml:space="preserve">crush margin inflection structural</w:t>
      </w:r>
      <w:r>
        <w:t xml:space="preserve"> </w:t>
      </w:r>
      <w:r>
        <w:t xml:space="preserve">(biofuels demand) rather than just a timing snap-back; (2) does</w:t>
      </w:r>
      <w:r>
        <w:t xml:space="preserve"> </w:t>
      </w:r>
      <w:r>
        <w:rPr>
          <w:b/>
          <w:bCs/>
        </w:rPr>
        <w:t xml:space="preserve">ethanol strength and the 45Z benefit</w:t>
      </w:r>
      <w:r>
        <w:t xml:space="preserve"> </w:t>
      </w:r>
      <w:r>
        <w:t xml:space="preserve">hold; and (3) does management</w:t>
      </w:r>
      <w:r>
        <w:t xml:space="preserve"> </w:t>
      </w:r>
      <w:r>
        <w:rPr>
          <w:b/>
          <w:bCs/>
        </w:rPr>
        <w:t xml:space="preserve">raise the</w:t>
      </w:r>
      <w:r>
        <w:rPr>
          <w:b/>
          <w:bCs/>
        </w:rPr>
        <w:t xml:space="preserve"> </w:t>
      </w:r>
      <m:oMath>
        <m:r>
          <m:t>4.15</m:t>
        </m:r>
        <m:r>
          <m:rPr>
            <m:sty m:val="p"/>
          </m:rPr>
          <m:t>–</m:t>
        </m:r>
      </m:oMath>
      <w:r>
        <w:rPr>
          <w:b/>
          <w:bCs/>
        </w:rPr>
        <w:t xml:space="preserve">4.70 range again</w:t>
      </w:r>
      <w:r>
        <w:t xml:space="preserve"> </w:t>
      </w:r>
      <w:r>
        <w:t xml:space="preserve">while sounding constructive on China and the inverted H2 curve. With shares up big YTD but softening into the report, the setup rewards a clean beat</w:t>
      </w:r>
      <w:r>
        <w:t xml:space="preserve"> </w:t>
      </w:r>
      <w:r>
        <w:rPr>
          <w:i/>
          <w:iCs/>
        </w:rPr>
        <w:t xml:space="preserve">plus</w:t>
      </w:r>
      <w:r>
        <w:t xml:space="preserve"> </w:t>
      </w:r>
      <w:r>
        <w:t xml:space="preserve">a guidance raise, and punishes a "timing-driven" beat paired with cautious second-half language.</w:t>
      </w:r>
    </w:p>
    <w:p>
      <w:pPr>
        <w:pStyle w:val="BodyText"/>
      </w:pPr>
      <w:r>
        <w:rPr>
          <w:i/>
          <w:iCs/>
        </w:rPr>
        <w:t xml:space="preserve">Note on timing: Q1 was released ~6:00 a.m. ET with the call at 8:30 a.m. ET; expect a similar cadence for the Aug 4 report.</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2026-08-04T00:27:04Z</dcterms:created>
  <dcterms:modified xsi:type="dcterms:W3CDTF">2026-08-04T00:27:04Z</dcterms:modified>
</cp:coreProperties>
</file>

<file path=docProps/custom.xml><?xml version="1.0" encoding="utf-8"?>
<Properties xmlns="http://schemas.openxmlformats.org/officeDocument/2006/custom-properties" xmlns:vt="http://schemas.openxmlformats.org/officeDocument/2006/docPropsVTypes"/>
</file>